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447EC9" w:rsidRPr="00260823" w14:paraId="7279D181" w14:textId="77777777" w:rsidTr="005D457B">
        <w:trPr>
          <w:jc w:val="center"/>
        </w:trPr>
        <w:tc>
          <w:tcPr>
            <w:tcW w:w="10456" w:type="dxa"/>
          </w:tcPr>
          <w:p w14:paraId="626144B3" w14:textId="77777777" w:rsidR="00446338" w:rsidRPr="00260823" w:rsidRDefault="00446338" w:rsidP="007E4978">
            <w:pPr>
              <w:jc w:val="both"/>
              <w:rPr>
                <w:rFonts w:ascii="Aptos" w:hAnsi="Aptos" w:cs="Arial"/>
                <w:b/>
                <w:bCs/>
                <w:color w:val="0070C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F21F3C" w:rsidRPr="00260823" w14:paraId="29B32933" w14:textId="77777777" w:rsidTr="0092261C">
              <w:tc>
                <w:tcPr>
                  <w:tcW w:w="5115" w:type="dxa"/>
                </w:tcPr>
                <w:p w14:paraId="661683D4" w14:textId="77777777" w:rsidR="00F21F3C" w:rsidRPr="00260823" w:rsidRDefault="00F21F3C" w:rsidP="00F21F3C">
                  <w:pPr>
                    <w:rPr>
                      <w:rFonts w:ascii="Aptos" w:hAnsi="Aptos" w:cs="Arial"/>
                      <w:sz w:val="22"/>
                      <w:szCs w:val="22"/>
                    </w:rPr>
                  </w:pPr>
                  <w:r w:rsidRPr="00260823">
                    <w:rPr>
                      <w:rFonts w:ascii="Aptos" w:hAnsi="Aptos" w:cs="Arial"/>
                      <w:caps/>
                      <w:noProof/>
                      <w:color w:val="B3C0C0"/>
                      <w:sz w:val="32"/>
                      <w:szCs w:val="32"/>
                    </w:rPr>
                    <w:drawing>
                      <wp:inline distT="0" distB="0" distL="0" distR="0" wp14:anchorId="5E3363E9" wp14:editId="748CC0E0">
                        <wp:extent cx="1561381" cy="985307"/>
                        <wp:effectExtent l="0" t="0" r="1270" b="5715"/>
                        <wp:docPr id="1478143070" name="Image 1478143070" descr="D:\Mes documents\MARKETING\Charte graphique 2015\LOGOS\Logo-altares-positif.jpg">
                          <a:extLst xmlns:a="http://schemas.openxmlformats.org/drawingml/2006/main">
                            <a:ext uri="{FF2B5EF4-FFF2-40B4-BE49-F238E27FC236}">
                              <a16:creationId xmlns:a16="http://schemas.microsoft.com/office/drawing/2014/main" id="{2D6CBCBB-9001-42BC-A3C2-1D0AF412E5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MARKETING\Charte graphique 2015\LOGOS\Logo-altares-positi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3016" cy="998960"/>
                                </a:xfrm>
                                <a:prstGeom prst="rect">
                                  <a:avLst/>
                                </a:prstGeom>
                                <a:noFill/>
                                <a:ln>
                                  <a:noFill/>
                                </a:ln>
                              </pic:spPr>
                            </pic:pic>
                          </a:graphicData>
                        </a:graphic>
                      </wp:inline>
                    </w:drawing>
                  </w:r>
                </w:p>
              </w:tc>
              <w:tc>
                <w:tcPr>
                  <w:tcW w:w="5115" w:type="dxa"/>
                </w:tcPr>
                <w:p w14:paraId="08CC4C69" w14:textId="77777777" w:rsidR="00F21F3C" w:rsidRPr="00260823" w:rsidRDefault="00F21F3C" w:rsidP="00F21F3C">
                  <w:pPr>
                    <w:jc w:val="right"/>
                    <w:rPr>
                      <w:rFonts w:ascii="Aptos" w:hAnsi="Aptos" w:cs="Arial"/>
                      <w:sz w:val="22"/>
                      <w:szCs w:val="22"/>
                    </w:rPr>
                  </w:pPr>
                </w:p>
                <w:p w14:paraId="209C1D4E" w14:textId="77777777" w:rsidR="00F21F3C" w:rsidRPr="00260823" w:rsidRDefault="00F21F3C" w:rsidP="00F21F3C">
                  <w:pPr>
                    <w:jc w:val="right"/>
                    <w:rPr>
                      <w:rFonts w:ascii="Aptos" w:hAnsi="Aptos" w:cs="Arial"/>
                      <w:sz w:val="22"/>
                      <w:szCs w:val="22"/>
                    </w:rPr>
                  </w:pPr>
                </w:p>
                <w:p w14:paraId="201D05EA" w14:textId="77777777" w:rsidR="00F21F3C" w:rsidRPr="00260823" w:rsidRDefault="00F21F3C" w:rsidP="00F21F3C">
                  <w:pPr>
                    <w:jc w:val="right"/>
                    <w:rPr>
                      <w:rFonts w:ascii="Aptos" w:hAnsi="Aptos" w:cs="Arial"/>
                      <w:sz w:val="22"/>
                      <w:szCs w:val="22"/>
                    </w:rPr>
                  </w:pPr>
                </w:p>
                <w:p w14:paraId="1478ADEA" w14:textId="77777777" w:rsidR="00F21F3C" w:rsidRPr="00260823" w:rsidRDefault="00F21F3C" w:rsidP="00F21F3C">
                  <w:pPr>
                    <w:spacing w:line="240" w:lineRule="auto"/>
                    <w:jc w:val="right"/>
                    <w:rPr>
                      <w:rFonts w:ascii="Aptos" w:hAnsi="Aptos" w:cs="Arial"/>
                      <w:sz w:val="22"/>
                      <w:szCs w:val="22"/>
                    </w:rPr>
                  </w:pPr>
                  <w:r w:rsidRPr="00260823">
                    <w:rPr>
                      <w:rFonts w:ascii="Aptos" w:hAnsi="Aptos" w:cs="Arial"/>
                      <w:sz w:val="22"/>
                      <w:szCs w:val="22"/>
                    </w:rPr>
                    <w:t>Communiqué de presse</w:t>
                  </w:r>
                </w:p>
                <w:p w14:paraId="74B49D8E" w14:textId="25C8CED8" w:rsidR="00F21F3C" w:rsidRPr="00260823" w:rsidRDefault="00A546D1" w:rsidP="00F21F3C">
                  <w:pPr>
                    <w:spacing w:line="240" w:lineRule="auto"/>
                    <w:jc w:val="right"/>
                    <w:rPr>
                      <w:rFonts w:ascii="Aptos" w:hAnsi="Aptos" w:cs="Arial"/>
                      <w:sz w:val="22"/>
                      <w:szCs w:val="22"/>
                    </w:rPr>
                  </w:pPr>
                  <w:r w:rsidRPr="00260823">
                    <w:rPr>
                      <w:rFonts w:ascii="Aptos" w:hAnsi="Aptos" w:cs="Arial"/>
                      <w:sz w:val="22"/>
                      <w:szCs w:val="22"/>
                    </w:rPr>
                    <w:t xml:space="preserve">Jeudi 16 juillet </w:t>
                  </w:r>
                  <w:r w:rsidR="00F21F3C" w:rsidRPr="00260823">
                    <w:rPr>
                      <w:rFonts w:ascii="Aptos" w:hAnsi="Aptos" w:cs="Arial"/>
                      <w:sz w:val="22"/>
                      <w:szCs w:val="22"/>
                    </w:rPr>
                    <w:t>2026</w:t>
                  </w:r>
                </w:p>
                <w:p w14:paraId="500D4F97" w14:textId="77777777" w:rsidR="00F21F3C" w:rsidRPr="00260823" w:rsidRDefault="00F21F3C" w:rsidP="00F21F3C">
                  <w:pPr>
                    <w:rPr>
                      <w:rFonts w:ascii="Aptos" w:hAnsi="Aptos" w:cs="Arial"/>
                      <w:sz w:val="22"/>
                      <w:szCs w:val="22"/>
                    </w:rPr>
                  </w:pPr>
                </w:p>
              </w:tc>
            </w:tr>
          </w:tbl>
          <w:p w14:paraId="59405F18" w14:textId="77777777" w:rsidR="00F21F3C" w:rsidRPr="00260823" w:rsidRDefault="00F21F3C" w:rsidP="00F21F3C">
            <w:pPr>
              <w:rPr>
                <w:rFonts w:ascii="Aptos" w:hAnsi="Aptos" w:cs="Arial"/>
                <w:sz w:val="22"/>
                <w:szCs w:val="22"/>
              </w:rPr>
            </w:pPr>
          </w:p>
          <w:p w14:paraId="158D0632" w14:textId="23ECDCB8" w:rsidR="00F21F3C" w:rsidRPr="00260823" w:rsidRDefault="00F21F3C" w:rsidP="00F21F3C">
            <w:pPr>
              <w:spacing w:line="240" w:lineRule="auto"/>
              <w:jc w:val="center"/>
              <w:rPr>
                <w:rFonts w:ascii="Aptos" w:hAnsi="Aptos" w:cs="Arial"/>
                <w:b/>
                <w:bCs/>
                <w:color w:val="FF0000"/>
                <w:sz w:val="26"/>
                <w:szCs w:val="26"/>
              </w:rPr>
            </w:pPr>
            <w:r w:rsidRPr="00260823">
              <w:rPr>
                <w:rFonts w:ascii="Aptos" w:hAnsi="Aptos" w:cs="Arial"/>
                <w:b/>
                <w:bCs/>
                <w:color w:val="FF0000"/>
                <w:sz w:val="26"/>
                <w:szCs w:val="26"/>
              </w:rPr>
              <w:t>[Étude Altares Défaillances et sauvegardes d’entreprises </w:t>
            </w:r>
            <w:r w:rsidR="00A546D1" w:rsidRPr="00260823">
              <w:rPr>
                <w:rFonts w:ascii="Aptos" w:hAnsi="Aptos" w:cs="Arial"/>
                <w:b/>
                <w:bCs/>
                <w:color w:val="FF0000"/>
                <w:sz w:val="26"/>
                <w:szCs w:val="26"/>
              </w:rPr>
              <w:t>–</w:t>
            </w:r>
            <w:r w:rsidRPr="00260823">
              <w:rPr>
                <w:rFonts w:ascii="Aptos" w:hAnsi="Aptos" w:cs="Arial"/>
                <w:b/>
                <w:bCs/>
                <w:color w:val="FF0000"/>
                <w:sz w:val="26"/>
                <w:szCs w:val="26"/>
              </w:rPr>
              <w:t xml:space="preserve"> </w:t>
            </w:r>
            <w:r w:rsidR="00A546D1" w:rsidRPr="00260823">
              <w:rPr>
                <w:rFonts w:ascii="Aptos" w:hAnsi="Aptos" w:cs="Arial"/>
                <w:b/>
                <w:bCs/>
                <w:color w:val="FF0000"/>
                <w:sz w:val="26"/>
                <w:szCs w:val="26"/>
              </w:rPr>
              <w:t>2</w:t>
            </w:r>
            <w:r w:rsidR="00A546D1" w:rsidRPr="00260823">
              <w:rPr>
                <w:rFonts w:ascii="Aptos" w:hAnsi="Aptos" w:cs="Arial"/>
                <w:b/>
                <w:bCs/>
                <w:color w:val="FF0000"/>
                <w:sz w:val="26"/>
                <w:szCs w:val="26"/>
                <w:vertAlign w:val="superscript"/>
              </w:rPr>
              <w:t>ème</w:t>
            </w:r>
            <w:r w:rsidR="00A546D1" w:rsidRPr="00260823">
              <w:rPr>
                <w:rFonts w:ascii="Aptos" w:hAnsi="Aptos" w:cs="Arial"/>
                <w:b/>
                <w:bCs/>
                <w:color w:val="FF0000"/>
                <w:sz w:val="26"/>
                <w:szCs w:val="26"/>
              </w:rPr>
              <w:t xml:space="preserve"> </w:t>
            </w:r>
            <w:r w:rsidRPr="00260823">
              <w:rPr>
                <w:rFonts w:ascii="Aptos" w:hAnsi="Aptos" w:cs="Arial"/>
                <w:b/>
                <w:bCs/>
                <w:color w:val="FF0000"/>
                <w:sz w:val="26"/>
                <w:szCs w:val="26"/>
              </w:rPr>
              <w:t>trimestre 2026]</w:t>
            </w:r>
          </w:p>
          <w:p w14:paraId="1F8BE7E1" w14:textId="77777777" w:rsidR="00F21F3C" w:rsidRPr="00260823" w:rsidRDefault="00F21F3C" w:rsidP="00785A0B">
            <w:pPr>
              <w:jc w:val="center"/>
              <w:rPr>
                <w:rFonts w:ascii="Aptos" w:hAnsi="Aptos" w:cs="Arial"/>
                <w:b/>
                <w:bCs/>
                <w:color w:val="002060"/>
                <w:sz w:val="34"/>
                <w:szCs w:val="34"/>
              </w:rPr>
            </w:pPr>
          </w:p>
          <w:p w14:paraId="468C2CC4" w14:textId="6971DDFF" w:rsidR="00905611" w:rsidRPr="00260823" w:rsidRDefault="00785A0B" w:rsidP="00DB5E89">
            <w:pPr>
              <w:jc w:val="center"/>
              <w:rPr>
                <w:rFonts w:ascii="Aptos" w:hAnsi="Aptos" w:cs="Arial"/>
                <w:b/>
                <w:bCs/>
                <w:color w:val="002060"/>
                <w:sz w:val="34"/>
                <w:szCs w:val="34"/>
              </w:rPr>
            </w:pPr>
            <w:r w:rsidRPr="00260823">
              <w:rPr>
                <w:rFonts w:ascii="Aptos" w:hAnsi="Aptos" w:cs="Arial"/>
                <w:b/>
                <w:bCs/>
                <w:color w:val="002060"/>
                <w:sz w:val="34"/>
                <w:szCs w:val="34"/>
              </w:rPr>
              <w:t>Près de 17 500 défaillances au 2</w:t>
            </w:r>
            <w:r w:rsidR="00450DAC">
              <w:rPr>
                <w:rFonts w:ascii="Aptos" w:hAnsi="Aptos" w:cs="Arial"/>
                <w:b/>
                <w:bCs/>
                <w:color w:val="002060"/>
                <w:sz w:val="34"/>
                <w:szCs w:val="34"/>
                <w:vertAlign w:val="superscript"/>
              </w:rPr>
              <w:t>ème</w:t>
            </w:r>
            <w:r w:rsidRPr="00260823">
              <w:rPr>
                <w:rFonts w:ascii="Aptos" w:hAnsi="Aptos" w:cs="Arial"/>
                <w:b/>
                <w:bCs/>
                <w:color w:val="002060"/>
                <w:sz w:val="34"/>
                <w:szCs w:val="34"/>
              </w:rPr>
              <w:t xml:space="preserve"> trimestre 2026 (+5,4 %) </w:t>
            </w:r>
          </w:p>
          <w:p w14:paraId="04276577" w14:textId="70AF0194" w:rsidR="00785A0B" w:rsidRPr="00360F0F" w:rsidRDefault="00D553C7" w:rsidP="00785A0B">
            <w:pPr>
              <w:jc w:val="center"/>
              <w:rPr>
                <w:rFonts w:ascii="Aptos" w:hAnsi="Aptos" w:cs="Arial"/>
                <w:b/>
                <w:bCs/>
                <w:color w:val="002060"/>
              </w:rPr>
            </w:pPr>
            <w:r w:rsidRPr="00360F0F">
              <w:rPr>
                <w:rFonts w:ascii="Aptos" w:hAnsi="Aptos" w:cs="Arial"/>
                <w:b/>
                <w:bCs/>
                <w:color w:val="002060"/>
              </w:rPr>
              <w:t>37 700 entreprises ont fait défaut sur six mois, soit 1 500 de plus que lors du 1</w:t>
            </w:r>
            <w:r w:rsidRPr="00360F0F">
              <w:rPr>
                <w:rFonts w:ascii="Aptos" w:hAnsi="Aptos" w:cs="Arial"/>
                <w:b/>
                <w:bCs/>
                <w:color w:val="002060"/>
                <w:vertAlign w:val="superscript"/>
              </w:rPr>
              <w:t>e</w:t>
            </w:r>
            <w:r w:rsidRPr="00360F0F">
              <w:rPr>
                <w:rFonts w:ascii="Aptos" w:hAnsi="Aptos" w:cs="Arial"/>
                <w:b/>
                <w:bCs/>
                <w:color w:val="002060"/>
              </w:rPr>
              <w:t xml:space="preserve"> semestre 2025</w:t>
            </w:r>
          </w:p>
          <w:p w14:paraId="54DABFC4" w14:textId="77777777" w:rsidR="00D553C7" w:rsidRPr="00260823" w:rsidRDefault="00D553C7" w:rsidP="00785A0B">
            <w:pPr>
              <w:jc w:val="center"/>
              <w:rPr>
                <w:rFonts w:ascii="Aptos" w:hAnsi="Aptos" w:cs="Arial"/>
                <w:b/>
                <w:bCs/>
                <w:color w:val="002060"/>
              </w:rPr>
            </w:pPr>
          </w:p>
          <w:p w14:paraId="0414D780" w14:textId="5A675E09" w:rsidR="00785A0B" w:rsidRPr="00260823" w:rsidRDefault="00785A0B" w:rsidP="00785A0B">
            <w:pPr>
              <w:spacing w:line="240" w:lineRule="auto"/>
              <w:ind w:left="601" w:right="566"/>
              <w:jc w:val="center"/>
              <w:rPr>
                <w:rFonts w:ascii="Aptos" w:hAnsi="Aptos" w:cs="Arial"/>
                <w:b/>
                <w:bCs/>
                <w:color w:val="0070C0"/>
              </w:rPr>
            </w:pPr>
            <w:r w:rsidRPr="00260823">
              <w:rPr>
                <w:rFonts w:ascii="Aptos" w:hAnsi="Aptos" w:cs="Arial"/>
                <w:b/>
                <w:bCs/>
                <w:color w:val="0070C0"/>
              </w:rPr>
              <w:t xml:space="preserve">Les très petites et les jeunes entreprises sont les plus exposées aux difficultés, limitant l'impact </w:t>
            </w:r>
            <w:r w:rsidR="00A30878" w:rsidRPr="00260823">
              <w:rPr>
                <w:rFonts w:ascii="Aptos" w:hAnsi="Aptos" w:cs="Arial"/>
                <w:b/>
                <w:bCs/>
                <w:color w:val="0070C0"/>
              </w:rPr>
              <w:t>sur les emplois menacés</w:t>
            </w:r>
          </w:p>
          <w:p w14:paraId="7F406749" w14:textId="77777777" w:rsidR="00785A0B" w:rsidRPr="00260823" w:rsidRDefault="00785A0B" w:rsidP="0038457A">
            <w:pPr>
              <w:spacing w:line="240" w:lineRule="auto"/>
              <w:jc w:val="both"/>
              <w:rPr>
                <w:rFonts w:ascii="Aptos" w:hAnsi="Aptos" w:cs="Arial"/>
                <w:b/>
                <w:bCs/>
                <w:color w:val="0070C0"/>
              </w:rPr>
            </w:pPr>
          </w:p>
          <w:p w14:paraId="3A1BA260" w14:textId="359F7B7B" w:rsidR="00A71E09" w:rsidRPr="00D553C7" w:rsidRDefault="00E653A2" w:rsidP="0038457A">
            <w:pPr>
              <w:spacing w:line="240" w:lineRule="auto"/>
              <w:jc w:val="both"/>
              <w:rPr>
                <w:rFonts w:ascii="Aptos" w:hAnsi="Aptos" w:cs="Arial"/>
                <w:b/>
                <w:bCs/>
                <w:color w:val="00B050"/>
                <w:sz w:val="22"/>
                <w:szCs w:val="22"/>
              </w:rPr>
            </w:pPr>
            <w:r w:rsidRPr="00260823">
              <w:rPr>
                <w:rFonts w:ascii="Aptos" w:hAnsi="Aptos" w:cs="Arial"/>
                <w:b/>
                <w:bCs/>
                <w:sz w:val="22"/>
                <w:szCs w:val="22"/>
              </w:rPr>
              <w:t xml:space="preserve">Paris, le 16 juillet 2026 | Altares, expert référent de la donnée d’entreprises, dévoile aujourd’hui les chiffres des défaillances d’entreprises en France pour le </w:t>
            </w:r>
            <w:r w:rsidR="00785441" w:rsidRPr="00260823">
              <w:rPr>
                <w:rFonts w:ascii="Aptos" w:hAnsi="Aptos" w:cs="Arial"/>
                <w:b/>
                <w:bCs/>
                <w:sz w:val="22"/>
                <w:szCs w:val="22"/>
              </w:rPr>
              <w:t>2</w:t>
            </w:r>
            <w:r w:rsidR="00785441" w:rsidRPr="00260823">
              <w:rPr>
                <w:rFonts w:ascii="Aptos" w:hAnsi="Aptos" w:cs="Arial"/>
                <w:b/>
                <w:bCs/>
                <w:sz w:val="22"/>
                <w:szCs w:val="22"/>
                <w:vertAlign w:val="superscript"/>
              </w:rPr>
              <w:t>ème</w:t>
            </w:r>
            <w:r w:rsidRPr="00260823">
              <w:rPr>
                <w:rFonts w:ascii="Aptos" w:hAnsi="Aptos" w:cs="Arial"/>
                <w:b/>
                <w:bCs/>
                <w:sz w:val="22"/>
                <w:szCs w:val="22"/>
              </w:rPr>
              <w:t xml:space="preserve"> trimestre 2026. </w:t>
            </w:r>
            <w:r w:rsidR="00B608DA" w:rsidRPr="00260823">
              <w:rPr>
                <w:rFonts w:ascii="Aptos" w:hAnsi="Aptos" w:cs="Arial"/>
                <w:b/>
                <w:bCs/>
                <w:sz w:val="22"/>
                <w:szCs w:val="22"/>
              </w:rPr>
              <w:t>A</w:t>
            </w:r>
            <w:r w:rsidR="00AB2945" w:rsidRPr="00260823">
              <w:rPr>
                <w:rFonts w:ascii="Aptos" w:hAnsi="Aptos" w:cs="Arial"/>
                <w:b/>
                <w:bCs/>
                <w:sz w:val="22"/>
                <w:szCs w:val="22"/>
              </w:rPr>
              <w:t>vec</w:t>
            </w:r>
            <w:r w:rsidR="00B608DA" w:rsidRPr="00260823">
              <w:rPr>
                <w:rFonts w:ascii="Aptos" w:hAnsi="Aptos" w:cs="Arial"/>
                <w:b/>
                <w:bCs/>
                <w:sz w:val="22"/>
                <w:szCs w:val="22"/>
              </w:rPr>
              <w:t xml:space="preserve"> 17 486 procédures ouvertes,</w:t>
            </w:r>
            <w:r w:rsidR="00AB2945" w:rsidRPr="00260823">
              <w:rPr>
                <w:rFonts w:ascii="Aptos" w:hAnsi="Aptos" w:cs="Arial"/>
                <w:b/>
                <w:bCs/>
                <w:sz w:val="22"/>
                <w:szCs w:val="22"/>
              </w:rPr>
              <w:t xml:space="preserve"> en</w:t>
            </w:r>
            <w:r w:rsidR="00B608DA" w:rsidRPr="00260823">
              <w:rPr>
                <w:rFonts w:ascii="Aptos" w:hAnsi="Aptos" w:cs="Arial"/>
                <w:b/>
                <w:bCs/>
                <w:sz w:val="22"/>
                <w:szCs w:val="22"/>
              </w:rPr>
              <w:t xml:space="preserve"> hausse de 5,4 % </w:t>
            </w:r>
            <w:r w:rsidR="00AB2945" w:rsidRPr="00260823">
              <w:rPr>
                <w:rFonts w:ascii="Aptos" w:hAnsi="Aptos" w:cs="Arial"/>
                <w:b/>
                <w:bCs/>
                <w:sz w:val="22"/>
                <w:szCs w:val="22"/>
              </w:rPr>
              <w:t xml:space="preserve">sur un an, le deuxième trimestre </w:t>
            </w:r>
            <w:r w:rsidR="00ED7CA6">
              <w:rPr>
                <w:rFonts w:ascii="Aptos" w:hAnsi="Aptos" w:cs="Arial"/>
                <w:b/>
                <w:bCs/>
                <w:sz w:val="22"/>
                <w:szCs w:val="22"/>
              </w:rPr>
              <w:t>confirme le</w:t>
            </w:r>
            <w:r w:rsidR="007E790A" w:rsidRPr="00260823">
              <w:rPr>
                <w:rFonts w:ascii="Aptos" w:hAnsi="Aptos" w:cs="Arial"/>
                <w:b/>
                <w:bCs/>
                <w:sz w:val="22"/>
                <w:szCs w:val="22"/>
              </w:rPr>
              <w:t xml:space="preserve"> niveau élevé de défaillances en </w:t>
            </w:r>
            <w:r w:rsidR="007E790A" w:rsidRPr="00360F0F">
              <w:rPr>
                <w:rFonts w:ascii="Aptos" w:hAnsi="Aptos" w:cs="Arial"/>
                <w:b/>
                <w:bCs/>
                <w:sz w:val="22"/>
                <w:szCs w:val="22"/>
              </w:rPr>
              <w:t>France.</w:t>
            </w:r>
            <w:r w:rsidR="00F30105" w:rsidRPr="00360F0F">
              <w:rPr>
                <w:rFonts w:ascii="Aptos" w:hAnsi="Aptos" w:cs="Arial"/>
                <w:b/>
                <w:bCs/>
                <w:sz w:val="22"/>
                <w:szCs w:val="22"/>
              </w:rPr>
              <w:t xml:space="preserve"> </w:t>
            </w:r>
            <w:r w:rsidR="00D553C7" w:rsidRPr="00360F0F">
              <w:rPr>
                <w:rFonts w:ascii="Aptos" w:hAnsi="Aptos" w:cs="Arial"/>
                <w:b/>
                <w:bCs/>
                <w:sz w:val="22"/>
                <w:szCs w:val="22"/>
              </w:rPr>
              <w:t>Depuis le début de l’année, 37 700 entreprises sont tombées dont les deux tiers directement en liquidation, soit 1 500 de plus par rapport à la même période 2025.</w:t>
            </w:r>
          </w:p>
          <w:p w14:paraId="0468D99C" w14:textId="52B28311" w:rsidR="00140175" w:rsidRPr="00260823" w:rsidRDefault="003C0A96" w:rsidP="0038457A">
            <w:pPr>
              <w:spacing w:line="240" w:lineRule="auto"/>
              <w:jc w:val="both"/>
              <w:rPr>
                <w:rFonts w:ascii="Aptos" w:hAnsi="Aptos" w:cs="Arial"/>
                <w:b/>
                <w:bCs/>
                <w:sz w:val="22"/>
                <w:szCs w:val="22"/>
              </w:rPr>
            </w:pPr>
            <w:r w:rsidRPr="00260823">
              <w:rPr>
                <w:rFonts w:ascii="Aptos" w:hAnsi="Aptos" w:cs="Arial"/>
                <w:b/>
                <w:bCs/>
                <w:sz w:val="22"/>
                <w:szCs w:val="22"/>
              </w:rPr>
              <w:t xml:space="preserve">Les </w:t>
            </w:r>
            <w:r w:rsidR="00B608DA" w:rsidRPr="00260823">
              <w:rPr>
                <w:rFonts w:ascii="Aptos" w:hAnsi="Aptos" w:cs="Arial"/>
                <w:b/>
                <w:bCs/>
                <w:sz w:val="22"/>
                <w:szCs w:val="22"/>
              </w:rPr>
              <w:t xml:space="preserve">difficultés frappent </w:t>
            </w:r>
            <w:r w:rsidR="00E51EDD" w:rsidRPr="00260823">
              <w:rPr>
                <w:rFonts w:ascii="Aptos" w:hAnsi="Aptos" w:cs="Arial"/>
                <w:b/>
                <w:bCs/>
                <w:sz w:val="22"/>
                <w:szCs w:val="22"/>
              </w:rPr>
              <w:t xml:space="preserve">plus </w:t>
            </w:r>
            <w:r w:rsidR="00B608DA" w:rsidRPr="00260823">
              <w:rPr>
                <w:rFonts w:ascii="Aptos" w:hAnsi="Aptos" w:cs="Arial"/>
                <w:b/>
                <w:bCs/>
                <w:sz w:val="22"/>
                <w:szCs w:val="22"/>
              </w:rPr>
              <w:t>particulièrement les très petites</w:t>
            </w:r>
            <w:r w:rsidR="00E51EDD" w:rsidRPr="00260823">
              <w:rPr>
                <w:rFonts w:ascii="Aptos" w:hAnsi="Aptos" w:cs="Arial"/>
                <w:b/>
                <w:bCs/>
                <w:sz w:val="22"/>
                <w:szCs w:val="22"/>
              </w:rPr>
              <w:t xml:space="preserve"> et les jeunes</w:t>
            </w:r>
            <w:r w:rsidR="00B608DA" w:rsidRPr="00260823">
              <w:rPr>
                <w:rFonts w:ascii="Aptos" w:hAnsi="Aptos" w:cs="Arial"/>
                <w:b/>
                <w:bCs/>
                <w:sz w:val="22"/>
                <w:szCs w:val="22"/>
              </w:rPr>
              <w:t xml:space="preserve"> entreprises</w:t>
            </w:r>
            <w:r w:rsidRPr="00260823">
              <w:rPr>
                <w:rFonts w:ascii="Aptos" w:hAnsi="Aptos" w:cs="Arial"/>
                <w:b/>
                <w:bCs/>
                <w:sz w:val="22"/>
                <w:szCs w:val="22"/>
              </w:rPr>
              <w:t>,</w:t>
            </w:r>
            <w:r w:rsidR="006675F8" w:rsidRPr="00260823">
              <w:rPr>
                <w:rFonts w:ascii="Aptos" w:hAnsi="Aptos" w:cs="Arial"/>
                <w:b/>
                <w:bCs/>
                <w:sz w:val="22"/>
                <w:szCs w:val="22"/>
              </w:rPr>
              <w:t xml:space="preserve"> </w:t>
            </w:r>
            <w:r w:rsidR="00B608DA" w:rsidRPr="00260823">
              <w:rPr>
                <w:rFonts w:ascii="Aptos" w:hAnsi="Aptos" w:cs="Arial"/>
                <w:b/>
                <w:bCs/>
                <w:sz w:val="22"/>
                <w:szCs w:val="22"/>
              </w:rPr>
              <w:t>contribu</w:t>
            </w:r>
            <w:r w:rsidR="00F36CDD" w:rsidRPr="00260823">
              <w:rPr>
                <w:rFonts w:ascii="Aptos" w:hAnsi="Aptos" w:cs="Arial"/>
                <w:b/>
                <w:bCs/>
                <w:sz w:val="22"/>
                <w:szCs w:val="22"/>
              </w:rPr>
              <w:t xml:space="preserve">ant </w:t>
            </w:r>
            <w:r w:rsidR="00B608DA" w:rsidRPr="00260823">
              <w:rPr>
                <w:rFonts w:ascii="Aptos" w:hAnsi="Aptos" w:cs="Arial"/>
                <w:b/>
                <w:bCs/>
                <w:sz w:val="22"/>
                <w:szCs w:val="22"/>
              </w:rPr>
              <w:t xml:space="preserve">à modérer l’impact social </w:t>
            </w:r>
            <w:r w:rsidR="00D7458E" w:rsidRPr="00260823">
              <w:rPr>
                <w:rFonts w:ascii="Aptos" w:hAnsi="Aptos" w:cs="Arial"/>
                <w:b/>
                <w:bCs/>
                <w:sz w:val="22"/>
                <w:szCs w:val="22"/>
              </w:rPr>
              <w:t xml:space="preserve">de </w:t>
            </w:r>
            <w:r w:rsidR="001E0261" w:rsidRPr="00260823">
              <w:rPr>
                <w:rFonts w:ascii="Aptos" w:hAnsi="Aptos" w:cs="Arial"/>
                <w:b/>
                <w:bCs/>
                <w:sz w:val="22"/>
                <w:szCs w:val="22"/>
              </w:rPr>
              <w:t>la</w:t>
            </w:r>
            <w:r w:rsidR="00D7458E" w:rsidRPr="00260823">
              <w:rPr>
                <w:rFonts w:ascii="Aptos" w:hAnsi="Aptos" w:cs="Arial"/>
                <w:b/>
                <w:bCs/>
                <w:sz w:val="22"/>
                <w:szCs w:val="22"/>
              </w:rPr>
              <w:t xml:space="preserve"> hausse des défauts</w:t>
            </w:r>
            <w:r w:rsidR="005A27AC" w:rsidRPr="00260823">
              <w:rPr>
                <w:rFonts w:ascii="Aptos" w:hAnsi="Aptos" w:cs="Arial"/>
                <w:b/>
                <w:bCs/>
                <w:sz w:val="22"/>
                <w:szCs w:val="22"/>
              </w:rPr>
              <w:t xml:space="preserve"> </w:t>
            </w:r>
            <w:r w:rsidR="00B608DA" w:rsidRPr="00260823">
              <w:rPr>
                <w:rFonts w:ascii="Aptos" w:hAnsi="Aptos" w:cs="Arial"/>
                <w:b/>
                <w:bCs/>
                <w:sz w:val="22"/>
                <w:szCs w:val="22"/>
              </w:rPr>
              <w:t>: le nombre d’emplois menacés recule de 9,5 % sur un an</w:t>
            </w:r>
            <w:r w:rsidR="00F331F6" w:rsidRPr="00260823">
              <w:rPr>
                <w:rFonts w:ascii="Aptos" w:hAnsi="Aptos" w:cs="Arial"/>
                <w:b/>
                <w:bCs/>
                <w:sz w:val="22"/>
                <w:szCs w:val="22"/>
              </w:rPr>
              <w:t xml:space="preserve"> et concerne désormais </w:t>
            </w:r>
            <w:r w:rsidR="00B608DA" w:rsidRPr="00260823">
              <w:rPr>
                <w:rFonts w:ascii="Aptos" w:hAnsi="Aptos" w:cs="Arial"/>
                <w:b/>
                <w:bCs/>
                <w:sz w:val="22"/>
                <w:szCs w:val="22"/>
              </w:rPr>
              <w:t>58 830</w:t>
            </w:r>
            <w:r w:rsidR="00F331F6" w:rsidRPr="00260823">
              <w:rPr>
                <w:rFonts w:ascii="Aptos" w:hAnsi="Aptos" w:cs="Arial"/>
                <w:b/>
                <w:bCs/>
                <w:sz w:val="22"/>
                <w:szCs w:val="22"/>
              </w:rPr>
              <w:t xml:space="preserve"> salariés</w:t>
            </w:r>
            <w:r w:rsidR="00B608DA" w:rsidRPr="00260823">
              <w:rPr>
                <w:rFonts w:ascii="Aptos" w:hAnsi="Aptos" w:cs="Arial"/>
                <w:b/>
                <w:bCs/>
                <w:sz w:val="22"/>
                <w:szCs w:val="22"/>
              </w:rPr>
              <w:t xml:space="preserve">. </w:t>
            </w:r>
          </w:p>
          <w:p w14:paraId="190483B5" w14:textId="77777777" w:rsidR="00F71BAE" w:rsidRPr="00260823" w:rsidRDefault="00F71BAE" w:rsidP="0038457A">
            <w:pPr>
              <w:spacing w:line="240" w:lineRule="auto"/>
              <w:jc w:val="both"/>
              <w:rPr>
                <w:rFonts w:ascii="Aptos" w:hAnsi="Aptos" w:cs="Arial"/>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C3775C" w:rsidRPr="00260823" w14:paraId="69A18DAF" w14:textId="77777777" w:rsidTr="00C3775C">
              <w:tc>
                <w:tcPr>
                  <w:tcW w:w="5115" w:type="dxa"/>
                  <w:shd w:val="clear" w:color="auto" w:fill="196B24" w:themeFill="accent3"/>
                </w:tcPr>
                <w:p w14:paraId="2DF097FF" w14:textId="08F4DBB3" w:rsidR="00C3775C" w:rsidRPr="00260823" w:rsidRDefault="00C3775C" w:rsidP="006E4458">
                  <w:pPr>
                    <w:spacing w:before="60" w:after="60" w:line="240" w:lineRule="auto"/>
                    <w:jc w:val="center"/>
                    <w:rPr>
                      <w:rFonts w:ascii="Aptos" w:hAnsi="Aptos" w:cs="Arial"/>
                      <w:b/>
                      <w:bCs/>
                      <w:color w:val="FFFFFF" w:themeColor="background1"/>
                      <w:sz w:val="18"/>
                      <w:szCs w:val="18"/>
                    </w:rPr>
                  </w:pPr>
                  <w:r w:rsidRPr="00260823">
                    <w:rPr>
                      <w:rFonts w:ascii="Aptos" w:hAnsi="Aptos" w:cs="Arial"/>
                      <w:b/>
                      <w:bCs/>
                      <w:color w:val="FFFFFF" w:themeColor="background1"/>
                      <w:sz w:val="18"/>
                      <w:szCs w:val="18"/>
                    </w:rPr>
                    <w:t xml:space="preserve">Les signaux d’accalmie </w:t>
                  </w:r>
                  <w:r w:rsidR="005C680A" w:rsidRPr="00260823">
                    <w:rPr>
                      <w:rFonts w:ascii="Aptos" w:hAnsi="Aptos" w:cs="Arial"/>
                      <w:b/>
                      <w:bCs/>
                      <w:color w:val="FFFFFF" w:themeColor="background1"/>
                      <w:sz w:val="18"/>
                      <w:szCs w:val="18"/>
                    </w:rPr>
                    <w:t>ou</w:t>
                  </w:r>
                  <w:r w:rsidRPr="00260823">
                    <w:rPr>
                      <w:rFonts w:ascii="Aptos" w:hAnsi="Aptos" w:cs="Arial"/>
                      <w:b/>
                      <w:bCs/>
                      <w:color w:val="FFFFFF" w:themeColor="background1"/>
                      <w:sz w:val="18"/>
                      <w:szCs w:val="18"/>
                    </w:rPr>
                    <w:t xml:space="preserve"> d’amélioration</w:t>
                  </w:r>
                </w:p>
              </w:tc>
              <w:tc>
                <w:tcPr>
                  <w:tcW w:w="5115" w:type="dxa"/>
                  <w:shd w:val="clear" w:color="auto" w:fill="C00000"/>
                </w:tcPr>
                <w:p w14:paraId="0203DF7E" w14:textId="01FBA760" w:rsidR="00C3775C" w:rsidRPr="00260823" w:rsidRDefault="00C3775C" w:rsidP="006E4458">
                  <w:pPr>
                    <w:spacing w:before="60" w:after="60" w:line="240" w:lineRule="auto"/>
                    <w:jc w:val="center"/>
                    <w:rPr>
                      <w:rFonts w:ascii="Aptos" w:hAnsi="Aptos" w:cs="Arial"/>
                      <w:b/>
                      <w:bCs/>
                      <w:color w:val="FFFFFF" w:themeColor="background1"/>
                      <w:sz w:val="18"/>
                      <w:szCs w:val="18"/>
                    </w:rPr>
                  </w:pPr>
                  <w:r w:rsidRPr="00260823">
                    <w:rPr>
                      <w:rFonts w:ascii="Aptos" w:hAnsi="Aptos" w:cs="Arial"/>
                      <w:b/>
                      <w:bCs/>
                      <w:color w:val="FFFFFF" w:themeColor="background1"/>
                      <w:sz w:val="18"/>
                      <w:szCs w:val="18"/>
                    </w:rPr>
                    <w:t xml:space="preserve">Les </w:t>
                  </w:r>
                  <w:r w:rsidR="006E4458" w:rsidRPr="00260823">
                    <w:rPr>
                      <w:rFonts w:ascii="Aptos" w:hAnsi="Aptos" w:cs="Arial"/>
                      <w:b/>
                      <w:bCs/>
                      <w:color w:val="FFFFFF" w:themeColor="background1"/>
                      <w:sz w:val="18"/>
                      <w:szCs w:val="18"/>
                    </w:rPr>
                    <w:t>tendances</w:t>
                  </w:r>
                  <w:r w:rsidRPr="00260823">
                    <w:rPr>
                      <w:rFonts w:ascii="Aptos" w:hAnsi="Aptos" w:cs="Arial"/>
                      <w:b/>
                      <w:bCs/>
                      <w:color w:val="FFFFFF" w:themeColor="background1"/>
                      <w:sz w:val="18"/>
                      <w:szCs w:val="18"/>
                    </w:rPr>
                    <w:t xml:space="preserve"> qui alertent</w:t>
                  </w:r>
                </w:p>
              </w:tc>
            </w:tr>
            <w:tr w:rsidR="00C3775C" w:rsidRPr="00260823" w14:paraId="249EB814" w14:textId="77777777" w:rsidTr="00C3775C">
              <w:tc>
                <w:tcPr>
                  <w:tcW w:w="5115" w:type="dxa"/>
                  <w:shd w:val="clear" w:color="auto" w:fill="D9F2D0" w:themeFill="accent6" w:themeFillTint="33"/>
                </w:tcPr>
                <w:p w14:paraId="75C55328" w14:textId="723A974E" w:rsidR="00C3775C" w:rsidRPr="00360F0F" w:rsidRDefault="00C3775C" w:rsidP="006E4458">
                  <w:pPr>
                    <w:spacing w:line="360" w:lineRule="auto"/>
                    <w:rPr>
                      <w:rFonts w:ascii="Aptos" w:hAnsi="Aptos" w:cs="Arial"/>
                      <w:sz w:val="18"/>
                      <w:szCs w:val="18"/>
                    </w:rPr>
                  </w:pPr>
                  <w:r w:rsidRPr="00360F0F">
                    <w:rPr>
                      <w:rFonts w:ascii="Aptos" w:hAnsi="Aptos" w:cs="Arial"/>
                      <w:sz w:val="18"/>
                      <w:szCs w:val="18"/>
                    </w:rPr>
                    <w:t xml:space="preserve">L’emploi menacé </w:t>
                  </w:r>
                  <w:r w:rsidR="00124AD0" w:rsidRPr="00360F0F">
                    <w:rPr>
                      <w:rFonts w:ascii="Aptos" w:hAnsi="Aptos" w:cs="Arial"/>
                      <w:sz w:val="18"/>
                      <w:szCs w:val="18"/>
                    </w:rPr>
                    <w:t xml:space="preserve">est </w:t>
                  </w:r>
                  <w:r w:rsidRPr="00360F0F">
                    <w:rPr>
                      <w:rFonts w:ascii="Aptos" w:hAnsi="Aptos" w:cs="Arial"/>
                      <w:sz w:val="18"/>
                      <w:szCs w:val="18"/>
                    </w:rPr>
                    <w:t xml:space="preserve">en baisse de 9,5 % </w:t>
                  </w:r>
                </w:p>
                <w:p w14:paraId="2E141B8B" w14:textId="4B25201C" w:rsidR="00C3775C" w:rsidRPr="00360F0F" w:rsidRDefault="00C3775C" w:rsidP="006E4458">
                  <w:pPr>
                    <w:spacing w:line="360" w:lineRule="auto"/>
                    <w:rPr>
                      <w:rFonts w:ascii="Aptos" w:hAnsi="Aptos" w:cs="Arial"/>
                      <w:sz w:val="18"/>
                      <w:szCs w:val="18"/>
                    </w:rPr>
                  </w:pPr>
                  <w:r w:rsidRPr="00360F0F">
                    <w:rPr>
                      <w:rFonts w:ascii="Aptos" w:hAnsi="Aptos" w:cs="Arial"/>
                      <w:sz w:val="18"/>
                      <w:szCs w:val="18"/>
                    </w:rPr>
                    <w:t xml:space="preserve">- 3,3 % de défauts chez les entreprises </w:t>
                  </w:r>
                  <w:r w:rsidR="00124AD0" w:rsidRPr="00360F0F">
                    <w:rPr>
                      <w:rFonts w:ascii="Aptos" w:hAnsi="Aptos" w:cs="Arial"/>
                      <w:sz w:val="18"/>
                      <w:szCs w:val="18"/>
                    </w:rPr>
                    <w:t xml:space="preserve">de </w:t>
                  </w:r>
                  <w:r w:rsidRPr="00360F0F">
                    <w:rPr>
                      <w:rFonts w:ascii="Aptos" w:hAnsi="Aptos" w:cs="Arial"/>
                      <w:sz w:val="18"/>
                      <w:szCs w:val="18"/>
                    </w:rPr>
                    <w:t>3-19 salariés</w:t>
                  </w:r>
                </w:p>
                <w:p w14:paraId="1BB74884" w14:textId="7AD516F8" w:rsidR="007009B5" w:rsidRPr="00360F0F" w:rsidRDefault="005B4F2D" w:rsidP="006E4458">
                  <w:pPr>
                    <w:spacing w:line="360" w:lineRule="auto"/>
                    <w:rPr>
                      <w:rFonts w:ascii="Aptos" w:hAnsi="Aptos" w:cs="Arial"/>
                      <w:sz w:val="18"/>
                      <w:szCs w:val="18"/>
                    </w:rPr>
                  </w:pPr>
                  <w:r w:rsidRPr="00360F0F">
                    <w:rPr>
                      <w:rFonts w:ascii="Aptos" w:hAnsi="Aptos" w:cs="Arial"/>
                      <w:sz w:val="18"/>
                      <w:szCs w:val="18"/>
                    </w:rPr>
                    <w:t>La construction</w:t>
                  </w:r>
                  <w:r w:rsidR="00360F0F" w:rsidRPr="00360F0F">
                    <w:rPr>
                      <w:rFonts w:ascii="Aptos" w:hAnsi="Aptos" w:cs="Arial"/>
                      <w:sz w:val="18"/>
                      <w:szCs w:val="18"/>
                    </w:rPr>
                    <w:t xml:space="preserve"> </w:t>
                  </w:r>
                  <w:r w:rsidR="00D553C7" w:rsidRPr="00360F0F">
                    <w:rPr>
                      <w:rFonts w:ascii="Aptos" w:hAnsi="Aptos" w:cs="Arial"/>
                      <w:sz w:val="18"/>
                      <w:szCs w:val="18"/>
                    </w:rPr>
                    <w:t xml:space="preserve">et le commerce hors automobile sont </w:t>
                  </w:r>
                  <w:r w:rsidR="007009B5" w:rsidRPr="00360F0F">
                    <w:rPr>
                      <w:rFonts w:ascii="Aptos" w:hAnsi="Aptos" w:cs="Arial"/>
                      <w:sz w:val="18"/>
                      <w:szCs w:val="18"/>
                    </w:rPr>
                    <w:t>stable</w:t>
                  </w:r>
                  <w:r w:rsidR="003E5AD0">
                    <w:rPr>
                      <w:rFonts w:ascii="Aptos" w:hAnsi="Aptos" w:cs="Arial"/>
                      <w:sz w:val="18"/>
                      <w:szCs w:val="18"/>
                    </w:rPr>
                    <w:t>s</w:t>
                  </w:r>
                </w:p>
                <w:p w14:paraId="2160983A" w14:textId="5A421CD3" w:rsidR="00C3775C" w:rsidRPr="00360F0F" w:rsidRDefault="00C3775C" w:rsidP="006E4458">
                  <w:pPr>
                    <w:spacing w:line="360" w:lineRule="auto"/>
                    <w:rPr>
                      <w:rFonts w:ascii="Aptos" w:hAnsi="Aptos" w:cs="Arial"/>
                      <w:sz w:val="18"/>
                      <w:szCs w:val="18"/>
                    </w:rPr>
                  </w:pPr>
                  <w:r w:rsidRPr="00360F0F">
                    <w:rPr>
                      <w:rFonts w:ascii="Aptos" w:hAnsi="Aptos" w:cs="Arial"/>
                      <w:sz w:val="18"/>
                      <w:szCs w:val="18"/>
                    </w:rPr>
                    <w:t>La moitié des régions repasse dans le vert</w:t>
                  </w:r>
                </w:p>
              </w:tc>
              <w:tc>
                <w:tcPr>
                  <w:tcW w:w="5115" w:type="dxa"/>
                  <w:shd w:val="clear" w:color="auto" w:fill="FEAF9A"/>
                </w:tcPr>
                <w:p w14:paraId="11BCA697" w14:textId="77777777" w:rsidR="00C3775C" w:rsidRPr="00360F0F" w:rsidRDefault="00C3775C" w:rsidP="006E4458">
                  <w:pPr>
                    <w:spacing w:line="360" w:lineRule="auto"/>
                    <w:rPr>
                      <w:rFonts w:ascii="Aptos" w:hAnsi="Aptos" w:cs="Arial"/>
                      <w:sz w:val="18"/>
                      <w:szCs w:val="18"/>
                    </w:rPr>
                  </w:pPr>
                  <w:r w:rsidRPr="00360F0F">
                    <w:rPr>
                      <w:rFonts w:ascii="Aptos" w:hAnsi="Aptos" w:cs="Arial"/>
                      <w:sz w:val="18"/>
                      <w:szCs w:val="18"/>
                    </w:rPr>
                    <w:t>En T2, un niveau de défauts 40 % plus haut qu’avant Covid</w:t>
                  </w:r>
                </w:p>
                <w:p w14:paraId="43CE4025" w14:textId="69AD380D" w:rsidR="00C3775C" w:rsidRPr="00360F0F" w:rsidRDefault="00C3775C" w:rsidP="006E4458">
                  <w:pPr>
                    <w:spacing w:line="360" w:lineRule="auto"/>
                    <w:rPr>
                      <w:rFonts w:ascii="Aptos" w:hAnsi="Aptos" w:cs="Arial"/>
                      <w:sz w:val="18"/>
                      <w:szCs w:val="18"/>
                    </w:rPr>
                  </w:pPr>
                  <w:r w:rsidRPr="00360F0F">
                    <w:rPr>
                      <w:rFonts w:ascii="Aptos" w:hAnsi="Aptos" w:cs="Arial"/>
                      <w:sz w:val="18"/>
                      <w:szCs w:val="18"/>
                    </w:rPr>
                    <w:t xml:space="preserve">+8,3 % </w:t>
                  </w:r>
                  <w:r w:rsidR="00CD0D71" w:rsidRPr="00360F0F">
                    <w:rPr>
                      <w:rFonts w:ascii="Aptos" w:hAnsi="Aptos" w:cs="Arial"/>
                      <w:sz w:val="18"/>
                      <w:szCs w:val="18"/>
                    </w:rPr>
                    <w:t>de défauts chez</w:t>
                  </w:r>
                  <w:r w:rsidRPr="00360F0F">
                    <w:rPr>
                      <w:rFonts w:ascii="Aptos" w:hAnsi="Aptos" w:cs="Arial"/>
                      <w:sz w:val="18"/>
                      <w:szCs w:val="18"/>
                    </w:rPr>
                    <w:t xml:space="preserve"> les entreprises </w:t>
                  </w:r>
                  <w:r w:rsidR="00021FE2">
                    <w:rPr>
                      <w:rFonts w:ascii="Aptos" w:hAnsi="Aptos" w:cs="Arial"/>
                      <w:sz w:val="18"/>
                      <w:szCs w:val="18"/>
                    </w:rPr>
                    <w:t xml:space="preserve">de </w:t>
                  </w:r>
                  <w:r w:rsidRPr="00360F0F">
                    <w:rPr>
                      <w:rFonts w:ascii="Aptos" w:hAnsi="Aptos" w:cs="Arial"/>
                      <w:sz w:val="18"/>
                      <w:szCs w:val="18"/>
                    </w:rPr>
                    <w:t>-3 salariés</w:t>
                  </w:r>
                </w:p>
                <w:p w14:paraId="3DEBAA4C" w14:textId="5E987020" w:rsidR="005B4F2D" w:rsidRPr="00360F0F" w:rsidRDefault="00C3775C" w:rsidP="006E4458">
                  <w:pPr>
                    <w:spacing w:line="360" w:lineRule="auto"/>
                    <w:rPr>
                      <w:rFonts w:ascii="Aptos" w:hAnsi="Aptos" w:cs="Arial"/>
                      <w:sz w:val="18"/>
                      <w:szCs w:val="18"/>
                    </w:rPr>
                  </w:pPr>
                  <w:r w:rsidRPr="00360F0F">
                    <w:rPr>
                      <w:rFonts w:ascii="Aptos" w:hAnsi="Aptos" w:cs="Arial"/>
                      <w:sz w:val="18"/>
                      <w:szCs w:val="18"/>
                    </w:rPr>
                    <w:t xml:space="preserve">+ 12,7 % pour les entreprises de -3 ans </w:t>
                  </w:r>
                </w:p>
                <w:p w14:paraId="3D6443FC" w14:textId="1E5466EF" w:rsidR="00754D0C" w:rsidRPr="00360F0F" w:rsidRDefault="00D553C7" w:rsidP="006E4458">
                  <w:pPr>
                    <w:spacing w:line="360" w:lineRule="auto"/>
                    <w:rPr>
                      <w:rFonts w:ascii="Aptos" w:hAnsi="Aptos" w:cs="Arial"/>
                      <w:sz w:val="18"/>
                      <w:szCs w:val="18"/>
                    </w:rPr>
                  </w:pPr>
                  <w:r w:rsidRPr="00360F0F">
                    <w:rPr>
                      <w:rFonts w:ascii="Aptos" w:hAnsi="Aptos" w:cs="Arial"/>
                      <w:sz w:val="18"/>
                      <w:szCs w:val="18"/>
                    </w:rPr>
                    <w:t>Les services décrochent</w:t>
                  </w:r>
                  <w:r w:rsidR="00754D0C" w:rsidRPr="00360F0F">
                    <w:rPr>
                      <w:rFonts w:ascii="Aptos" w:hAnsi="Aptos" w:cs="Arial"/>
                      <w:sz w:val="18"/>
                      <w:szCs w:val="18"/>
                    </w:rPr>
                    <w:t>, le monde agricole sous tension.</w:t>
                  </w:r>
                </w:p>
                <w:p w14:paraId="6DFD2C70" w14:textId="754CBFD9" w:rsidR="00C3775C" w:rsidRPr="00360F0F" w:rsidRDefault="00C3775C" w:rsidP="006E4458">
                  <w:pPr>
                    <w:spacing w:line="360" w:lineRule="auto"/>
                    <w:rPr>
                      <w:rFonts w:ascii="Aptos" w:hAnsi="Aptos" w:cs="Arial"/>
                      <w:sz w:val="18"/>
                      <w:szCs w:val="18"/>
                    </w:rPr>
                  </w:pPr>
                  <w:r w:rsidRPr="00360F0F">
                    <w:rPr>
                      <w:rFonts w:ascii="Aptos" w:hAnsi="Aptos" w:cs="Arial"/>
                      <w:sz w:val="18"/>
                      <w:szCs w:val="18"/>
                    </w:rPr>
                    <w:t>La région AURA, 2</w:t>
                  </w:r>
                  <w:r w:rsidRPr="00360F0F">
                    <w:rPr>
                      <w:rFonts w:ascii="Aptos" w:hAnsi="Aptos" w:cs="Arial"/>
                      <w:sz w:val="18"/>
                      <w:szCs w:val="18"/>
                      <w:vertAlign w:val="superscript"/>
                    </w:rPr>
                    <w:t>e</w:t>
                  </w:r>
                  <w:r w:rsidRPr="00360F0F">
                    <w:rPr>
                      <w:rFonts w:ascii="Aptos" w:hAnsi="Aptos" w:cs="Arial"/>
                      <w:sz w:val="18"/>
                      <w:szCs w:val="18"/>
                    </w:rPr>
                    <w:t xml:space="preserve"> pôle économique du pays, est dans le rouge</w:t>
                  </w:r>
                </w:p>
              </w:tc>
            </w:tr>
          </w:tbl>
          <w:p w14:paraId="46EA84AC" w14:textId="77777777" w:rsidR="00C3775C" w:rsidRPr="00260823" w:rsidRDefault="00C3775C" w:rsidP="0038457A">
            <w:pPr>
              <w:spacing w:line="240" w:lineRule="auto"/>
              <w:jc w:val="both"/>
              <w:rPr>
                <w:rFonts w:ascii="Aptos" w:hAnsi="Aptos" w:cs="Arial"/>
                <w:b/>
                <w:bCs/>
              </w:rPr>
            </w:pPr>
          </w:p>
          <w:p w14:paraId="51D94C4B" w14:textId="28654CD3" w:rsidR="0038457A" w:rsidRPr="00260823" w:rsidRDefault="0038457A" w:rsidP="0038457A">
            <w:pPr>
              <w:spacing w:line="240" w:lineRule="auto"/>
              <w:jc w:val="both"/>
              <w:rPr>
                <w:rFonts w:ascii="Aptos" w:hAnsi="Aptos" w:cs="Arial"/>
                <w:b/>
                <w:bCs/>
                <w:color w:val="0070C0"/>
              </w:rPr>
            </w:pPr>
            <w:r w:rsidRPr="00260823">
              <w:rPr>
                <w:rFonts w:ascii="Aptos" w:hAnsi="Aptos" w:cs="Arial"/>
                <w:b/>
                <w:bCs/>
                <w:color w:val="0070C0"/>
              </w:rPr>
              <w:t xml:space="preserve">17 486 défaillances au </w:t>
            </w:r>
            <w:r w:rsidR="00C43A0E">
              <w:rPr>
                <w:rFonts w:ascii="Aptos" w:hAnsi="Aptos" w:cs="Arial"/>
                <w:b/>
                <w:bCs/>
                <w:color w:val="0070C0"/>
              </w:rPr>
              <w:t>2</w:t>
            </w:r>
            <w:r w:rsidR="00C43A0E" w:rsidRPr="00C43A0E">
              <w:rPr>
                <w:rFonts w:ascii="Aptos" w:hAnsi="Aptos" w:cs="Arial"/>
                <w:b/>
                <w:bCs/>
                <w:color w:val="0070C0"/>
                <w:vertAlign w:val="superscript"/>
              </w:rPr>
              <w:t>ème</w:t>
            </w:r>
            <w:r w:rsidR="00C43A0E">
              <w:rPr>
                <w:rFonts w:ascii="Aptos" w:hAnsi="Aptos" w:cs="Arial"/>
                <w:b/>
                <w:bCs/>
                <w:color w:val="0070C0"/>
              </w:rPr>
              <w:t xml:space="preserve"> </w:t>
            </w:r>
            <w:r w:rsidRPr="00260823">
              <w:rPr>
                <w:rFonts w:ascii="Aptos" w:hAnsi="Aptos" w:cs="Arial"/>
                <w:b/>
                <w:bCs/>
                <w:color w:val="0070C0"/>
              </w:rPr>
              <w:t xml:space="preserve">trimestre, </w:t>
            </w:r>
            <w:r w:rsidR="00C43A0E">
              <w:rPr>
                <w:rFonts w:ascii="Aptos" w:hAnsi="Aptos" w:cs="Arial"/>
                <w:b/>
                <w:bCs/>
                <w:color w:val="0070C0"/>
              </w:rPr>
              <w:t>un niveau très élevé</w:t>
            </w:r>
            <w:r w:rsidRPr="00260823">
              <w:rPr>
                <w:rFonts w:ascii="Aptos" w:hAnsi="Aptos" w:cs="Arial"/>
                <w:b/>
                <w:bCs/>
                <w:color w:val="0070C0"/>
              </w:rPr>
              <w:t xml:space="preserve"> </w:t>
            </w:r>
            <w:r w:rsidR="005B5248" w:rsidRPr="00260823">
              <w:rPr>
                <w:rFonts w:ascii="Aptos" w:hAnsi="Aptos" w:cs="Arial"/>
                <w:b/>
                <w:bCs/>
                <w:color w:val="0070C0"/>
              </w:rPr>
              <w:t>mais</w:t>
            </w:r>
            <w:r w:rsidRPr="00260823">
              <w:rPr>
                <w:rFonts w:ascii="Aptos" w:hAnsi="Aptos" w:cs="Arial"/>
                <w:b/>
                <w:bCs/>
                <w:color w:val="0070C0"/>
              </w:rPr>
              <w:t xml:space="preserve"> une tension moindre sur l’emploi</w:t>
            </w:r>
          </w:p>
          <w:p w14:paraId="77B8ABF5" w14:textId="77777777" w:rsidR="0038457A" w:rsidRPr="00260823" w:rsidRDefault="0038457A" w:rsidP="00487798">
            <w:pPr>
              <w:spacing w:line="240" w:lineRule="auto"/>
              <w:jc w:val="both"/>
              <w:rPr>
                <w:rFonts w:ascii="Aptos" w:hAnsi="Aptos" w:cs="Arial"/>
                <w:b/>
                <w:bCs/>
                <w:color w:val="0070C0"/>
              </w:rPr>
            </w:pPr>
          </w:p>
          <w:p w14:paraId="1AA5E485" w14:textId="5B089D05" w:rsidR="005B5248" w:rsidRPr="00260823" w:rsidRDefault="005B5248" w:rsidP="00D51945">
            <w:pPr>
              <w:autoSpaceDE w:val="0"/>
              <w:autoSpaceDN w:val="0"/>
              <w:adjustRightInd w:val="0"/>
              <w:spacing w:line="240" w:lineRule="auto"/>
              <w:jc w:val="both"/>
              <w:rPr>
                <w:rFonts w:ascii="Aptos" w:hAnsi="Aptos" w:cs="Arial"/>
                <w:sz w:val="22"/>
                <w:szCs w:val="22"/>
              </w:rPr>
            </w:pPr>
            <w:r w:rsidRPr="00260823">
              <w:rPr>
                <w:rFonts w:ascii="Aptos" w:hAnsi="Aptos" w:cs="Arial"/>
                <w:sz w:val="22"/>
                <w:szCs w:val="22"/>
              </w:rPr>
              <w:t xml:space="preserve">Le deuxième trimestre 2026 </w:t>
            </w:r>
            <w:r w:rsidR="00926C27">
              <w:rPr>
                <w:rFonts w:ascii="Aptos" w:hAnsi="Aptos" w:cs="Arial"/>
                <w:sz w:val="22"/>
                <w:szCs w:val="22"/>
              </w:rPr>
              <w:t xml:space="preserve">se </w:t>
            </w:r>
            <w:r w:rsidR="00551086">
              <w:rPr>
                <w:rFonts w:ascii="Aptos" w:hAnsi="Aptos" w:cs="Arial"/>
                <w:sz w:val="22"/>
                <w:szCs w:val="22"/>
              </w:rPr>
              <w:t>clôture</w:t>
            </w:r>
            <w:r w:rsidRPr="00260823">
              <w:rPr>
                <w:rFonts w:ascii="Aptos" w:hAnsi="Aptos" w:cs="Arial"/>
                <w:sz w:val="22"/>
                <w:szCs w:val="22"/>
              </w:rPr>
              <w:t xml:space="preserve"> sur 17 486 défaillances d’entreprises, </w:t>
            </w:r>
            <w:r w:rsidR="00A8153E">
              <w:rPr>
                <w:rFonts w:ascii="Aptos" w:hAnsi="Aptos" w:cs="Arial"/>
                <w:sz w:val="22"/>
                <w:szCs w:val="22"/>
              </w:rPr>
              <w:t xml:space="preserve">en </w:t>
            </w:r>
            <w:r w:rsidRPr="00260823">
              <w:rPr>
                <w:rFonts w:ascii="Aptos" w:hAnsi="Aptos" w:cs="Arial"/>
                <w:sz w:val="22"/>
                <w:szCs w:val="22"/>
              </w:rPr>
              <w:t>hausse de 5,4 % sur un an.</w:t>
            </w:r>
            <w:r w:rsidR="00DA4EBE">
              <w:rPr>
                <w:rFonts w:ascii="Aptos" w:hAnsi="Aptos" w:cs="Arial"/>
                <w:sz w:val="22"/>
                <w:szCs w:val="22"/>
              </w:rPr>
              <w:t xml:space="preserve"> Même si le rythme décélère</w:t>
            </w:r>
            <w:r w:rsidR="00857F3F">
              <w:rPr>
                <w:rFonts w:ascii="Aptos" w:hAnsi="Aptos" w:cs="Arial"/>
                <w:sz w:val="22"/>
                <w:szCs w:val="22"/>
              </w:rPr>
              <w:t xml:space="preserve"> depuis plusieurs mois</w:t>
            </w:r>
            <w:r w:rsidR="00DA4EBE">
              <w:rPr>
                <w:rFonts w:ascii="Aptos" w:hAnsi="Aptos" w:cs="Arial"/>
                <w:sz w:val="22"/>
                <w:szCs w:val="22"/>
              </w:rPr>
              <w:t xml:space="preserve">, </w:t>
            </w:r>
            <w:r w:rsidR="00857F3F">
              <w:rPr>
                <w:rFonts w:ascii="Aptos" w:hAnsi="Aptos" w:cs="Arial"/>
                <w:sz w:val="22"/>
                <w:szCs w:val="22"/>
              </w:rPr>
              <w:t xml:space="preserve">le </w:t>
            </w:r>
            <w:r w:rsidR="00684539">
              <w:rPr>
                <w:rFonts w:ascii="Aptos" w:hAnsi="Aptos" w:cs="Arial"/>
                <w:sz w:val="22"/>
                <w:szCs w:val="22"/>
              </w:rPr>
              <w:t>volume</w:t>
            </w:r>
            <w:r w:rsidR="001F32A4">
              <w:rPr>
                <w:rFonts w:ascii="Aptos" w:hAnsi="Aptos" w:cs="Arial"/>
                <w:sz w:val="22"/>
                <w:szCs w:val="22"/>
              </w:rPr>
              <w:t xml:space="preserve"> des défauts </w:t>
            </w:r>
            <w:r w:rsidR="0019751B">
              <w:rPr>
                <w:rFonts w:ascii="Aptos" w:hAnsi="Aptos" w:cs="Arial"/>
                <w:sz w:val="22"/>
                <w:szCs w:val="22"/>
              </w:rPr>
              <w:t>dépasse de pr</w:t>
            </w:r>
            <w:r w:rsidRPr="00260823">
              <w:rPr>
                <w:rFonts w:ascii="Aptos" w:hAnsi="Aptos" w:cs="Arial"/>
                <w:sz w:val="22"/>
                <w:szCs w:val="22"/>
              </w:rPr>
              <w:t xml:space="preserve">ès de 40 % </w:t>
            </w:r>
            <w:r w:rsidR="00926C27">
              <w:rPr>
                <w:rFonts w:ascii="Aptos" w:hAnsi="Aptos" w:cs="Arial"/>
                <w:sz w:val="22"/>
                <w:szCs w:val="22"/>
              </w:rPr>
              <w:t>les seuils</w:t>
            </w:r>
            <w:r w:rsidRPr="00260823">
              <w:rPr>
                <w:rFonts w:ascii="Aptos" w:hAnsi="Aptos" w:cs="Arial"/>
                <w:sz w:val="22"/>
                <w:szCs w:val="22"/>
              </w:rPr>
              <w:t xml:space="preserve"> observés avant la crise sanitaire</w:t>
            </w:r>
            <w:r w:rsidR="00A90740">
              <w:rPr>
                <w:rFonts w:ascii="Aptos" w:hAnsi="Aptos" w:cs="Arial"/>
                <w:sz w:val="22"/>
                <w:szCs w:val="22"/>
              </w:rPr>
              <w:t xml:space="preserve"> ; </w:t>
            </w:r>
            <w:r w:rsidRPr="00260823">
              <w:rPr>
                <w:rFonts w:ascii="Aptos" w:hAnsi="Aptos" w:cs="Arial"/>
                <w:sz w:val="22"/>
                <w:szCs w:val="22"/>
              </w:rPr>
              <w:t xml:space="preserve">les défaillances trimestrielles </w:t>
            </w:r>
            <w:r w:rsidR="00926C27">
              <w:rPr>
                <w:rFonts w:ascii="Aptos" w:hAnsi="Aptos" w:cs="Arial"/>
                <w:sz w:val="22"/>
                <w:szCs w:val="22"/>
              </w:rPr>
              <w:t xml:space="preserve">étaient </w:t>
            </w:r>
            <w:r w:rsidR="00A90740">
              <w:rPr>
                <w:rFonts w:ascii="Aptos" w:hAnsi="Aptos" w:cs="Arial"/>
                <w:sz w:val="22"/>
                <w:szCs w:val="22"/>
              </w:rPr>
              <w:t xml:space="preserve">alors </w:t>
            </w:r>
            <w:r w:rsidR="00926C27">
              <w:rPr>
                <w:rFonts w:ascii="Aptos" w:hAnsi="Aptos" w:cs="Arial"/>
                <w:sz w:val="22"/>
                <w:szCs w:val="22"/>
              </w:rPr>
              <w:t>inférieures à 13 000.</w:t>
            </w:r>
          </w:p>
          <w:p w14:paraId="5A6CF0F4" w14:textId="77777777" w:rsidR="005B5248" w:rsidRPr="00260823" w:rsidRDefault="005B5248" w:rsidP="00D51945">
            <w:pPr>
              <w:autoSpaceDE w:val="0"/>
              <w:autoSpaceDN w:val="0"/>
              <w:adjustRightInd w:val="0"/>
              <w:spacing w:line="240" w:lineRule="auto"/>
              <w:jc w:val="both"/>
              <w:rPr>
                <w:rFonts w:ascii="Aptos" w:hAnsi="Aptos" w:cs="Arial"/>
                <w:sz w:val="22"/>
                <w:szCs w:val="22"/>
              </w:rPr>
            </w:pPr>
          </w:p>
          <w:p w14:paraId="42AF6457" w14:textId="26CCC9C5" w:rsidR="00306086" w:rsidRPr="00260823" w:rsidRDefault="00306086" w:rsidP="00D51945">
            <w:pPr>
              <w:autoSpaceDE w:val="0"/>
              <w:autoSpaceDN w:val="0"/>
              <w:adjustRightInd w:val="0"/>
              <w:spacing w:line="240" w:lineRule="auto"/>
              <w:jc w:val="both"/>
              <w:rPr>
                <w:rFonts w:ascii="Aptos" w:hAnsi="Aptos" w:cs="Arial"/>
                <w:sz w:val="22"/>
                <w:szCs w:val="22"/>
              </w:rPr>
            </w:pPr>
            <w:r w:rsidRPr="00260823">
              <w:rPr>
                <w:rFonts w:ascii="Aptos" w:hAnsi="Aptos" w:cs="Arial"/>
                <w:sz w:val="22"/>
                <w:szCs w:val="22"/>
              </w:rPr>
              <w:t xml:space="preserve">349 ouvertures de </w:t>
            </w:r>
            <w:r w:rsidRPr="00260823">
              <w:rPr>
                <w:rFonts w:ascii="Aptos" w:hAnsi="Aptos" w:cs="Arial"/>
                <w:b/>
                <w:bCs/>
                <w:sz w:val="22"/>
                <w:szCs w:val="22"/>
              </w:rPr>
              <w:t>sauvegarde</w:t>
            </w:r>
            <w:r w:rsidRPr="00260823">
              <w:rPr>
                <w:rFonts w:ascii="Aptos" w:hAnsi="Aptos" w:cs="Arial"/>
                <w:sz w:val="22"/>
                <w:szCs w:val="22"/>
              </w:rPr>
              <w:t xml:space="preserve"> ont été enregistrées ce trimestre. Cette procédure préventive demeure marginale et ne représente plus que 2 % de l’ensemble des jugements prononcés, contre plus de 3 % en 2023.</w:t>
            </w:r>
          </w:p>
          <w:p w14:paraId="02D1C3F5" w14:textId="627C22F1" w:rsidR="00F77E51" w:rsidRPr="00260823" w:rsidRDefault="00306086" w:rsidP="00306086">
            <w:pPr>
              <w:autoSpaceDE w:val="0"/>
              <w:autoSpaceDN w:val="0"/>
              <w:adjustRightInd w:val="0"/>
              <w:spacing w:line="240" w:lineRule="auto"/>
              <w:jc w:val="both"/>
              <w:rPr>
                <w:rFonts w:ascii="Aptos" w:hAnsi="Aptos" w:cs="Arial"/>
                <w:sz w:val="22"/>
                <w:szCs w:val="22"/>
              </w:rPr>
            </w:pPr>
            <w:r w:rsidRPr="00260823">
              <w:rPr>
                <w:rFonts w:ascii="Aptos" w:hAnsi="Aptos" w:cs="Arial"/>
                <w:sz w:val="22"/>
                <w:szCs w:val="22"/>
              </w:rPr>
              <w:t xml:space="preserve">Les </w:t>
            </w:r>
            <w:r w:rsidRPr="00260823">
              <w:rPr>
                <w:rFonts w:ascii="Aptos" w:hAnsi="Aptos" w:cs="Arial"/>
                <w:b/>
                <w:bCs/>
                <w:sz w:val="22"/>
                <w:szCs w:val="22"/>
              </w:rPr>
              <w:t>liquidations judiciaires</w:t>
            </w:r>
            <w:r w:rsidRPr="00260823">
              <w:rPr>
                <w:rFonts w:ascii="Aptos" w:hAnsi="Aptos" w:cs="Arial"/>
                <w:sz w:val="22"/>
                <w:szCs w:val="22"/>
              </w:rPr>
              <w:t xml:space="preserve"> directes restent très largement majoritaires avec 11 591 jugements, </w:t>
            </w:r>
            <w:r w:rsidRPr="00F77E51">
              <w:rPr>
                <w:rFonts w:ascii="Aptos" w:hAnsi="Aptos" w:cs="Arial"/>
                <w:b/>
                <w:bCs/>
                <w:sz w:val="22"/>
                <w:szCs w:val="22"/>
              </w:rPr>
              <w:t>en hausse de +4,8 % sur un an</w:t>
            </w:r>
            <w:r w:rsidRPr="00260823">
              <w:rPr>
                <w:rFonts w:ascii="Aptos" w:hAnsi="Aptos" w:cs="Arial"/>
                <w:sz w:val="22"/>
                <w:szCs w:val="22"/>
              </w:rPr>
              <w:t>. Elles concentrent un peu plus d</w:t>
            </w:r>
            <w:r w:rsidR="00021FE2">
              <w:rPr>
                <w:rFonts w:ascii="Aptos" w:hAnsi="Aptos" w:cs="Arial"/>
                <w:sz w:val="22"/>
                <w:szCs w:val="22"/>
              </w:rPr>
              <w:t>es deux</w:t>
            </w:r>
            <w:r w:rsidRPr="00260823">
              <w:rPr>
                <w:rFonts w:ascii="Aptos" w:hAnsi="Aptos" w:cs="Arial"/>
                <w:sz w:val="22"/>
                <w:szCs w:val="22"/>
              </w:rPr>
              <w:t xml:space="preserve"> tiers des procédures (66,3 %).</w:t>
            </w:r>
          </w:p>
          <w:p w14:paraId="601C8D01" w14:textId="747CC14C" w:rsidR="00306086" w:rsidRPr="00260823" w:rsidRDefault="00306086" w:rsidP="00D51945">
            <w:pPr>
              <w:autoSpaceDE w:val="0"/>
              <w:autoSpaceDN w:val="0"/>
              <w:adjustRightInd w:val="0"/>
              <w:spacing w:line="240" w:lineRule="auto"/>
              <w:jc w:val="both"/>
              <w:rPr>
                <w:rFonts w:ascii="Aptos" w:hAnsi="Aptos" w:cs="Arial"/>
                <w:sz w:val="22"/>
                <w:szCs w:val="22"/>
              </w:rPr>
            </w:pPr>
            <w:r w:rsidRPr="00260823">
              <w:rPr>
                <w:rFonts w:ascii="Aptos" w:hAnsi="Aptos" w:cs="Arial"/>
                <w:sz w:val="22"/>
                <w:szCs w:val="22"/>
              </w:rPr>
              <w:t>La dynamique du trimestre est tirée</w:t>
            </w:r>
            <w:r w:rsidR="008B06F1" w:rsidRPr="00260823">
              <w:rPr>
                <w:rFonts w:ascii="Aptos" w:hAnsi="Aptos" w:cs="Arial"/>
                <w:sz w:val="22"/>
                <w:szCs w:val="22"/>
              </w:rPr>
              <w:t xml:space="preserve"> par les</w:t>
            </w:r>
            <w:r w:rsidRPr="00260823">
              <w:rPr>
                <w:rFonts w:ascii="Aptos" w:hAnsi="Aptos" w:cs="Arial"/>
                <w:sz w:val="22"/>
                <w:szCs w:val="22"/>
              </w:rPr>
              <w:t xml:space="preserve"> </w:t>
            </w:r>
            <w:r w:rsidRPr="00260823">
              <w:rPr>
                <w:rFonts w:ascii="Aptos" w:hAnsi="Aptos" w:cs="Arial"/>
                <w:b/>
                <w:bCs/>
                <w:sz w:val="22"/>
                <w:szCs w:val="22"/>
              </w:rPr>
              <w:t>redressements judiciaires</w:t>
            </w:r>
            <w:r w:rsidR="002F6992">
              <w:rPr>
                <w:rFonts w:ascii="Aptos" w:hAnsi="Aptos" w:cs="Arial"/>
                <w:b/>
                <w:bCs/>
                <w:sz w:val="22"/>
                <w:szCs w:val="22"/>
              </w:rPr>
              <w:t xml:space="preserve"> </w:t>
            </w:r>
            <w:r w:rsidR="002F6992" w:rsidRPr="00360F0F">
              <w:rPr>
                <w:rFonts w:ascii="Aptos" w:hAnsi="Aptos" w:cs="Arial"/>
                <w:sz w:val="22"/>
                <w:szCs w:val="22"/>
              </w:rPr>
              <w:t>(</w:t>
            </w:r>
            <w:r w:rsidRPr="00360F0F">
              <w:rPr>
                <w:rFonts w:ascii="Aptos" w:hAnsi="Aptos" w:cs="Arial"/>
                <w:sz w:val="22"/>
                <w:szCs w:val="22"/>
              </w:rPr>
              <w:t>5</w:t>
            </w:r>
            <w:r w:rsidRPr="00260823">
              <w:rPr>
                <w:rFonts w:ascii="Aptos" w:hAnsi="Aptos" w:cs="Arial"/>
                <w:sz w:val="22"/>
                <w:szCs w:val="22"/>
              </w:rPr>
              <w:t xml:space="preserve"> 546</w:t>
            </w:r>
            <w:r w:rsidR="002F6992">
              <w:rPr>
                <w:rFonts w:ascii="Aptos" w:hAnsi="Aptos" w:cs="Arial"/>
                <w:sz w:val="22"/>
                <w:szCs w:val="22"/>
              </w:rPr>
              <w:t>),</w:t>
            </w:r>
            <w:r w:rsidRPr="00260823">
              <w:rPr>
                <w:rFonts w:ascii="Aptos" w:hAnsi="Aptos" w:cs="Arial"/>
                <w:sz w:val="22"/>
                <w:szCs w:val="22"/>
              </w:rPr>
              <w:t xml:space="preserve"> en hausse de 7,1 %. Leur part dans l'ensemble des défaillances atteint désormais 31,7 %, contre 31,2 % un an plus tôt et seulement 23,7 % en 2022. </w:t>
            </w:r>
          </w:p>
          <w:p w14:paraId="3E4104C9" w14:textId="77777777" w:rsidR="00306086" w:rsidRPr="00260823" w:rsidRDefault="00306086" w:rsidP="00D51945">
            <w:pPr>
              <w:autoSpaceDE w:val="0"/>
              <w:autoSpaceDN w:val="0"/>
              <w:adjustRightInd w:val="0"/>
              <w:spacing w:line="240" w:lineRule="auto"/>
              <w:jc w:val="both"/>
              <w:rPr>
                <w:rFonts w:ascii="Aptos" w:hAnsi="Aptos" w:cs="Arial"/>
                <w:sz w:val="22"/>
                <w:szCs w:val="22"/>
              </w:rPr>
            </w:pPr>
          </w:p>
          <w:p w14:paraId="4831D9D5" w14:textId="3C0E3738" w:rsidR="005B5248" w:rsidRPr="00260823" w:rsidRDefault="008B06F1" w:rsidP="005B5248">
            <w:pPr>
              <w:autoSpaceDE w:val="0"/>
              <w:autoSpaceDN w:val="0"/>
              <w:adjustRightInd w:val="0"/>
              <w:spacing w:line="240" w:lineRule="auto"/>
              <w:jc w:val="both"/>
              <w:rPr>
                <w:rFonts w:ascii="Aptos" w:hAnsi="Aptos" w:cs="Arial"/>
                <w:iCs/>
              </w:rPr>
            </w:pPr>
            <w:r w:rsidRPr="00260823">
              <w:rPr>
                <w:rFonts w:ascii="Aptos" w:hAnsi="Aptos" w:cs="Arial"/>
                <w:b/>
                <w:bCs/>
                <w:sz w:val="22"/>
                <w:szCs w:val="22"/>
              </w:rPr>
              <w:t>L'impact social</w:t>
            </w:r>
            <w:r w:rsidRPr="00260823">
              <w:rPr>
                <w:rFonts w:ascii="Aptos" w:hAnsi="Aptos" w:cs="Arial"/>
                <w:sz w:val="22"/>
                <w:szCs w:val="22"/>
              </w:rPr>
              <w:t xml:space="preserve"> </w:t>
            </w:r>
            <w:r w:rsidR="00EA0B39">
              <w:rPr>
                <w:rFonts w:ascii="Aptos" w:hAnsi="Aptos" w:cs="Arial"/>
                <w:sz w:val="22"/>
                <w:szCs w:val="22"/>
              </w:rPr>
              <w:t>de ces défaillances est important mais il s’atténue</w:t>
            </w:r>
            <w:r w:rsidRPr="00260823">
              <w:rPr>
                <w:rFonts w:ascii="Aptos" w:hAnsi="Aptos" w:cs="Arial"/>
                <w:sz w:val="22"/>
                <w:szCs w:val="22"/>
              </w:rPr>
              <w:t xml:space="preserve">. Le nombre d'emplois menacés s'établit à 58 830, en recul de -9,5 % par rapport au deuxième trimestre 2025 et bien en deçà des 69 500 emplois observés au deuxième trimestre 2024. </w:t>
            </w:r>
          </w:p>
          <w:p w14:paraId="037921D0" w14:textId="77777777" w:rsidR="005B5248" w:rsidRPr="00260823" w:rsidRDefault="005B5248" w:rsidP="008B06F1">
            <w:pPr>
              <w:autoSpaceDE w:val="0"/>
              <w:autoSpaceDN w:val="0"/>
              <w:adjustRightInd w:val="0"/>
              <w:spacing w:line="240" w:lineRule="auto"/>
              <w:jc w:val="both"/>
              <w:rPr>
                <w:rFonts w:ascii="Aptos" w:hAnsi="Aptos" w:cs="Arial"/>
                <w:iCs/>
              </w:rPr>
            </w:pPr>
          </w:p>
          <w:p w14:paraId="51C304AD" w14:textId="77777777" w:rsidR="00075011" w:rsidRPr="00260823" w:rsidRDefault="00075011" w:rsidP="008B06F1">
            <w:pPr>
              <w:autoSpaceDE w:val="0"/>
              <w:autoSpaceDN w:val="0"/>
              <w:adjustRightInd w:val="0"/>
              <w:spacing w:line="240" w:lineRule="auto"/>
              <w:jc w:val="both"/>
              <w:rPr>
                <w:rFonts w:ascii="Aptos" w:hAnsi="Aptos" w:cs="Arial"/>
                <w:iCs/>
              </w:rPr>
            </w:pPr>
          </w:p>
          <w:p w14:paraId="4B367A39" w14:textId="77777777" w:rsidR="007E4978" w:rsidRPr="00260823" w:rsidRDefault="007E4978" w:rsidP="007E4978">
            <w:pPr>
              <w:autoSpaceDE w:val="0"/>
              <w:autoSpaceDN w:val="0"/>
              <w:adjustRightInd w:val="0"/>
              <w:spacing w:line="276" w:lineRule="auto"/>
              <w:jc w:val="center"/>
              <w:rPr>
                <w:rFonts w:ascii="Aptos" w:hAnsi="Aptos" w:cs="Arial"/>
                <w:b/>
                <w:bCs/>
                <w:iCs/>
                <w:color w:val="00B0F0"/>
              </w:rPr>
            </w:pPr>
            <w:r w:rsidRPr="00260823">
              <w:rPr>
                <w:rFonts w:ascii="Aptos" w:hAnsi="Aptos" w:cs="Arial"/>
                <w:b/>
                <w:bCs/>
                <w:iCs/>
                <w:color w:val="00B0F0"/>
              </w:rPr>
              <w:lastRenderedPageBreak/>
              <w:t>Nombre de défaillances d’entreprises par type de procédure par trimestre</w:t>
            </w:r>
          </w:p>
          <w:p w14:paraId="03FBB859" w14:textId="1495C2F6" w:rsidR="007E4978" w:rsidRPr="00260823" w:rsidRDefault="007E4978" w:rsidP="007E4978">
            <w:pPr>
              <w:autoSpaceDE w:val="0"/>
              <w:autoSpaceDN w:val="0"/>
              <w:adjustRightInd w:val="0"/>
              <w:spacing w:line="276" w:lineRule="auto"/>
              <w:jc w:val="center"/>
              <w:rPr>
                <w:rFonts w:ascii="Aptos" w:hAnsi="Aptos" w:cs="Arial"/>
                <w:iCs/>
                <w:color w:val="00B0F0"/>
              </w:rPr>
            </w:pPr>
            <w:r w:rsidRPr="00260823">
              <w:rPr>
                <w:rFonts w:ascii="Aptos" w:hAnsi="Aptos" w:cs="Arial"/>
                <w:iCs/>
                <w:color w:val="00B0F0"/>
              </w:rPr>
              <w:t xml:space="preserve">(Données </w:t>
            </w:r>
            <w:r w:rsidR="00DF4027" w:rsidRPr="00260823">
              <w:rPr>
                <w:rFonts w:ascii="Aptos" w:hAnsi="Aptos" w:cs="Arial"/>
                <w:iCs/>
                <w:color w:val="00B0F0"/>
              </w:rPr>
              <w:t xml:space="preserve">provisoires </w:t>
            </w:r>
            <w:r w:rsidRPr="00260823">
              <w:rPr>
                <w:rFonts w:ascii="Aptos" w:hAnsi="Aptos" w:cs="Arial"/>
                <w:iCs/>
                <w:color w:val="00B0F0"/>
              </w:rPr>
              <w:t>arrêtées au 1</w:t>
            </w:r>
            <w:r w:rsidRPr="00260823">
              <w:rPr>
                <w:rFonts w:ascii="Aptos" w:hAnsi="Aptos" w:cs="Arial"/>
                <w:iCs/>
                <w:color w:val="00B0F0"/>
                <w:vertAlign w:val="superscript"/>
              </w:rPr>
              <w:t>er</w:t>
            </w:r>
            <w:r w:rsidRPr="00260823">
              <w:rPr>
                <w:rFonts w:ascii="Aptos" w:hAnsi="Aptos" w:cs="Arial"/>
                <w:iCs/>
                <w:color w:val="00B0F0"/>
              </w:rPr>
              <w:t xml:space="preserve"> </w:t>
            </w:r>
            <w:r w:rsidR="00DF4027" w:rsidRPr="00260823">
              <w:rPr>
                <w:rFonts w:ascii="Aptos" w:hAnsi="Aptos" w:cs="Arial"/>
                <w:iCs/>
                <w:color w:val="00B0F0"/>
              </w:rPr>
              <w:t>juillet</w:t>
            </w:r>
            <w:r w:rsidRPr="00260823">
              <w:rPr>
                <w:rFonts w:ascii="Aptos" w:hAnsi="Aptos" w:cs="Arial"/>
                <w:iCs/>
                <w:color w:val="00B0F0"/>
              </w:rPr>
              <w:t xml:space="preserve"> de chaque année)</w:t>
            </w:r>
          </w:p>
          <w:tbl>
            <w:tblPr>
              <w:tblpPr w:leftFromText="141" w:rightFromText="141" w:vertAnchor="text" w:horzAnchor="margin" w:tblpXSpec="center" w:tblpY="153"/>
              <w:tblOverlap w:val="never"/>
              <w:tblW w:w="5000" w:type="pct"/>
              <w:tblCellMar>
                <w:left w:w="70" w:type="dxa"/>
                <w:right w:w="70" w:type="dxa"/>
              </w:tblCellMar>
              <w:tblLook w:val="04A0" w:firstRow="1" w:lastRow="0" w:firstColumn="1" w:lastColumn="0" w:noHBand="0" w:noVBand="1"/>
            </w:tblPr>
            <w:tblGrid>
              <w:gridCol w:w="2044"/>
              <w:gridCol w:w="980"/>
              <w:gridCol w:w="983"/>
              <w:gridCol w:w="983"/>
              <w:gridCol w:w="983"/>
              <w:gridCol w:w="983"/>
              <w:gridCol w:w="1318"/>
              <w:gridCol w:w="246"/>
              <w:gridCol w:w="1715"/>
            </w:tblGrid>
            <w:tr w:rsidR="00DF4027" w:rsidRPr="00260823" w14:paraId="62C8EAB2" w14:textId="77777777" w:rsidTr="00915332">
              <w:trPr>
                <w:trHeight w:val="480"/>
              </w:trPr>
              <w:tc>
                <w:tcPr>
                  <w:tcW w:w="999" w:type="pct"/>
                  <w:tcBorders>
                    <w:top w:val="nil"/>
                    <w:left w:val="nil"/>
                    <w:bottom w:val="single" w:sz="4" w:space="0" w:color="BFBFBF" w:themeColor="background1" w:themeShade="BF"/>
                    <w:right w:val="nil"/>
                  </w:tcBorders>
                  <w:shd w:val="clear" w:color="auto" w:fill="0F4761" w:themeFill="accent1" w:themeFillShade="BF"/>
                  <w:vAlign w:val="center"/>
                  <w:hideMark/>
                </w:tcPr>
                <w:p w14:paraId="6ADBE76D" w14:textId="77777777" w:rsidR="00DF4027" w:rsidRPr="00260823" w:rsidRDefault="00DF4027" w:rsidP="00915332">
                  <w:pPr>
                    <w:spacing w:after="0" w:line="240" w:lineRule="auto"/>
                    <w:jc w:val="center"/>
                    <w:rPr>
                      <w:rFonts w:ascii="Aptos" w:hAnsi="Aptos" w:cs="Arial"/>
                      <w:b/>
                      <w:bCs/>
                      <w:color w:val="FFFFFF" w:themeColor="background1"/>
                      <w:sz w:val="20"/>
                      <w:szCs w:val="20"/>
                    </w:rPr>
                  </w:pPr>
                </w:p>
              </w:tc>
              <w:tc>
                <w:tcPr>
                  <w:tcW w:w="479" w:type="pct"/>
                  <w:tcBorders>
                    <w:top w:val="nil"/>
                    <w:left w:val="nil"/>
                    <w:bottom w:val="single" w:sz="4" w:space="0" w:color="BFBFBF" w:themeColor="background1" w:themeShade="BF"/>
                    <w:right w:val="nil"/>
                  </w:tcBorders>
                  <w:shd w:val="clear" w:color="auto" w:fill="0F4761" w:themeFill="accent1" w:themeFillShade="BF"/>
                  <w:vAlign w:val="center"/>
                  <w:hideMark/>
                </w:tcPr>
                <w:p w14:paraId="114A2A2D" w14:textId="0486147E" w:rsidR="00DF4027" w:rsidRPr="00260823" w:rsidRDefault="00DF4027" w:rsidP="00915332">
                  <w:pPr>
                    <w:spacing w:after="0" w:line="240" w:lineRule="auto"/>
                    <w:jc w:val="center"/>
                    <w:rPr>
                      <w:rFonts w:ascii="Aptos" w:hAnsi="Aptos" w:cs="Arial"/>
                      <w:b/>
                      <w:bCs/>
                      <w:color w:val="FFFFFF" w:themeColor="background1"/>
                      <w:sz w:val="20"/>
                      <w:szCs w:val="20"/>
                    </w:rPr>
                  </w:pPr>
                  <w:r w:rsidRPr="00260823">
                    <w:rPr>
                      <w:rFonts w:ascii="Aptos" w:hAnsi="Aptos" w:cs="Arial"/>
                      <w:b/>
                      <w:bCs/>
                      <w:color w:val="FFFFFF" w:themeColor="background1"/>
                      <w:sz w:val="20"/>
                      <w:szCs w:val="20"/>
                    </w:rPr>
                    <w:t>2022 T2</w:t>
                  </w:r>
                </w:p>
              </w:tc>
              <w:tc>
                <w:tcPr>
                  <w:tcW w:w="480" w:type="pct"/>
                  <w:tcBorders>
                    <w:top w:val="nil"/>
                    <w:left w:val="nil"/>
                    <w:bottom w:val="single" w:sz="4" w:space="0" w:color="BFBFBF" w:themeColor="background1" w:themeShade="BF"/>
                    <w:right w:val="nil"/>
                  </w:tcBorders>
                  <w:shd w:val="clear" w:color="auto" w:fill="0F4761" w:themeFill="accent1" w:themeFillShade="BF"/>
                  <w:vAlign w:val="center"/>
                  <w:hideMark/>
                </w:tcPr>
                <w:p w14:paraId="6540B146" w14:textId="1D9D0811" w:rsidR="00DF4027" w:rsidRPr="00260823" w:rsidRDefault="00DF4027" w:rsidP="00915332">
                  <w:pPr>
                    <w:spacing w:after="0" w:line="240" w:lineRule="auto"/>
                    <w:jc w:val="center"/>
                    <w:rPr>
                      <w:rFonts w:ascii="Aptos" w:hAnsi="Aptos" w:cs="Arial"/>
                      <w:b/>
                      <w:bCs/>
                      <w:color w:val="FFFFFF" w:themeColor="background1"/>
                      <w:sz w:val="20"/>
                      <w:szCs w:val="20"/>
                    </w:rPr>
                  </w:pPr>
                  <w:r w:rsidRPr="00260823">
                    <w:rPr>
                      <w:rFonts w:ascii="Aptos" w:hAnsi="Aptos" w:cs="Arial"/>
                      <w:b/>
                      <w:bCs/>
                      <w:color w:val="FFFFFF" w:themeColor="background1"/>
                      <w:sz w:val="20"/>
                      <w:szCs w:val="20"/>
                    </w:rPr>
                    <w:t>2023 T2</w:t>
                  </w:r>
                </w:p>
              </w:tc>
              <w:tc>
                <w:tcPr>
                  <w:tcW w:w="480" w:type="pct"/>
                  <w:tcBorders>
                    <w:top w:val="nil"/>
                    <w:left w:val="nil"/>
                    <w:bottom w:val="single" w:sz="4" w:space="0" w:color="BFBFBF" w:themeColor="background1" w:themeShade="BF"/>
                    <w:right w:val="nil"/>
                  </w:tcBorders>
                  <w:shd w:val="clear" w:color="auto" w:fill="0F4761" w:themeFill="accent1" w:themeFillShade="BF"/>
                  <w:vAlign w:val="center"/>
                  <w:hideMark/>
                </w:tcPr>
                <w:p w14:paraId="7DDDBBB8" w14:textId="5F086C1E" w:rsidR="00DF4027" w:rsidRPr="00260823" w:rsidRDefault="00DF4027" w:rsidP="00915332">
                  <w:pPr>
                    <w:spacing w:after="0" w:line="240" w:lineRule="auto"/>
                    <w:jc w:val="center"/>
                    <w:rPr>
                      <w:rFonts w:ascii="Aptos" w:hAnsi="Aptos" w:cs="Arial"/>
                      <w:b/>
                      <w:bCs/>
                      <w:color w:val="FFFFFF" w:themeColor="background1"/>
                      <w:sz w:val="20"/>
                      <w:szCs w:val="20"/>
                    </w:rPr>
                  </w:pPr>
                  <w:r w:rsidRPr="00260823">
                    <w:rPr>
                      <w:rFonts w:ascii="Aptos" w:hAnsi="Aptos" w:cs="Arial"/>
                      <w:b/>
                      <w:bCs/>
                      <w:color w:val="FFFFFF" w:themeColor="background1"/>
                      <w:sz w:val="20"/>
                      <w:szCs w:val="20"/>
                    </w:rPr>
                    <w:t>2024 T2</w:t>
                  </w:r>
                </w:p>
              </w:tc>
              <w:tc>
                <w:tcPr>
                  <w:tcW w:w="480" w:type="pct"/>
                  <w:tcBorders>
                    <w:top w:val="nil"/>
                    <w:left w:val="nil"/>
                    <w:bottom w:val="single" w:sz="4" w:space="0" w:color="BFBFBF" w:themeColor="background1" w:themeShade="BF"/>
                    <w:right w:val="nil"/>
                  </w:tcBorders>
                  <w:shd w:val="clear" w:color="auto" w:fill="0F4761" w:themeFill="accent1" w:themeFillShade="BF"/>
                  <w:vAlign w:val="center"/>
                  <w:hideMark/>
                </w:tcPr>
                <w:p w14:paraId="3E777442" w14:textId="6D8E4071" w:rsidR="00DF4027" w:rsidRPr="00260823" w:rsidRDefault="00DF4027" w:rsidP="00915332">
                  <w:pPr>
                    <w:spacing w:after="0" w:line="240" w:lineRule="auto"/>
                    <w:jc w:val="center"/>
                    <w:rPr>
                      <w:rFonts w:ascii="Aptos" w:hAnsi="Aptos" w:cs="Arial"/>
                      <w:color w:val="FFFFFF" w:themeColor="background1"/>
                      <w:sz w:val="20"/>
                      <w:szCs w:val="20"/>
                    </w:rPr>
                  </w:pPr>
                  <w:r w:rsidRPr="00260823">
                    <w:rPr>
                      <w:rFonts w:ascii="Aptos" w:hAnsi="Aptos" w:cs="Arial"/>
                      <w:b/>
                      <w:bCs/>
                      <w:color w:val="FFFFFF" w:themeColor="background1"/>
                      <w:sz w:val="20"/>
                      <w:szCs w:val="20"/>
                    </w:rPr>
                    <w:t>2025 T2</w:t>
                  </w:r>
                </w:p>
              </w:tc>
              <w:tc>
                <w:tcPr>
                  <w:tcW w:w="480" w:type="pct"/>
                  <w:tcBorders>
                    <w:top w:val="nil"/>
                    <w:left w:val="nil"/>
                    <w:bottom w:val="single" w:sz="4" w:space="0" w:color="BFBFBF" w:themeColor="background1" w:themeShade="BF"/>
                    <w:right w:val="nil"/>
                  </w:tcBorders>
                  <w:shd w:val="clear" w:color="auto" w:fill="0F4761" w:themeFill="accent1" w:themeFillShade="BF"/>
                  <w:vAlign w:val="center"/>
                  <w:hideMark/>
                </w:tcPr>
                <w:p w14:paraId="07B3EFE8" w14:textId="000E7744" w:rsidR="00DF4027" w:rsidRPr="00260823" w:rsidRDefault="00DF4027" w:rsidP="00915332">
                  <w:pPr>
                    <w:spacing w:after="0" w:line="240" w:lineRule="auto"/>
                    <w:jc w:val="center"/>
                    <w:rPr>
                      <w:rFonts w:ascii="Aptos" w:hAnsi="Aptos" w:cs="Arial"/>
                      <w:b/>
                      <w:bCs/>
                      <w:color w:val="FFFFFF" w:themeColor="background1"/>
                      <w:sz w:val="20"/>
                      <w:szCs w:val="20"/>
                    </w:rPr>
                  </w:pPr>
                  <w:r w:rsidRPr="00260823">
                    <w:rPr>
                      <w:rFonts w:ascii="Aptos" w:hAnsi="Aptos" w:cs="Arial"/>
                      <w:b/>
                      <w:bCs/>
                      <w:color w:val="FFFFFF" w:themeColor="background1"/>
                      <w:sz w:val="20"/>
                      <w:szCs w:val="20"/>
                    </w:rPr>
                    <w:t>2026 T2</w:t>
                  </w:r>
                </w:p>
              </w:tc>
              <w:tc>
                <w:tcPr>
                  <w:tcW w:w="644" w:type="pct"/>
                  <w:tcBorders>
                    <w:top w:val="nil"/>
                    <w:left w:val="nil"/>
                    <w:bottom w:val="single" w:sz="4" w:space="0" w:color="BFBFBF" w:themeColor="background1" w:themeShade="BF"/>
                    <w:right w:val="single" w:sz="4" w:space="0" w:color="BFBFBF" w:themeColor="background1" w:themeShade="BF"/>
                  </w:tcBorders>
                  <w:shd w:val="clear" w:color="auto" w:fill="0F4761" w:themeFill="accent1" w:themeFillShade="BF"/>
                  <w:vAlign w:val="center"/>
                  <w:hideMark/>
                </w:tcPr>
                <w:p w14:paraId="1D074849" w14:textId="5BDA4B03" w:rsidR="00DF4027" w:rsidRPr="00260823" w:rsidRDefault="00DF4027" w:rsidP="00915332">
                  <w:pPr>
                    <w:spacing w:after="0" w:line="240" w:lineRule="auto"/>
                    <w:jc w:val="center"/>
                    <w:rPr>
                      <w:rFonts w:ascii="Aptos" w:hAnsi="Aptos" w:cs="Arial"/>
                      <w:b/>
                      <w:bCs/>
                      <w:color w:val="FFFFFF" w:themeColor="background1"/>
                      <w:sz w:val="20"/>
                      <w:szCs w:val="20"/>
                    </w:rPr>
                  </w:pPr>
                  <w:r w:rsidRPr="00260823">
                    <w:rPr>
                      <w:rFonts w:ascii="Aptos" w:hAnsi="Aptos" w:cs="Arial"/>
                      <w:b/>
                      <w:bCs/>
                      <w:color w:val="FFFFFF" w:themeColor="background1"/>
                      <w:sz w:val="20"/>
                      <w:szCs w:val="20"/>
                    </w:rPr>
                    <w:t>EVOLUTION T2 2026/25</w:t>
                  </w:r>
                </w:p>
              </w:tc>
              <w:tc>
                <w:tcPr>
                  <w:tcW w:w="120" w:type="pct"/>
                  <w:tcBorders>
                    <w:top w:val="nil"/>
                    <w:left w:val="single" w:sz="4" w:space="0" w:color="BFBFBF" w:themeColor="background1" w:themeShade="BF"/>
                    <w:bottom w:val="nil"/>
                    <w:right w:val="single" w:sz="4" w:space="0" w:color="BFBFBF" w:themeColor="background1" w:themeShade="BF"/>
                  </w:tcBorders>
                  <w:shd w:val="clear" w:color="auto" w:fill="0F4761" w:themeFill="accent1" w:themeFillShade="BF"/>
                  <w:vAlign w:val="center"/>
                  <w:hideMark/>
                </w:tcPr>
                <w:p w14:paraId="3B6CEA6B" w14:textId="77777777" w:rsidR="00DF4027" w:rsidRPr="00260823" w:rsidRDefault="00DF4027" w:rsidP="00915332">
                  <w:pPr>
                    <w:spacing w:after="0" w:line="240" w:lineRule="auto"/>
                    <w:jc w:val="center"/>
                    <w:rPr>
                      <w:rFonts w:ascii="Aptos" w:hAnsi="Aptos" w:cs="Arial"/>
                      <w:b/>
                      <w:bCs/>
                      <w:color w:val="FFFFFF" w:themeColor="background1"/>
                      <w:sz w:val="20"/>
                      <w:szCs w:val="20"/>
                    </w:rPr>
                  </w:pPr>
                </w:p>
              </w:tc>
              <w:tc>
                <w:tcPr>
                  <w:tcW w:w="8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F4761" w:themeFill="accent1" w:themeFillShade="BF"/>
                  <w:vAlign w:val="center"/>
                  <w:hideMark/>
                </w:tcPr>
                <w:p w14:paraId="5C69D2CD" w14:textId="77777777" w:rsidR="00DF4027" w:rsidRPr="00260823" w:rsidRDefault="00DF4027" w:rsidP="00915332">
                  <w:pPr>
                    <w:spacing w:after="0" w:line="240" w:lineRule="auto"/>
                    <w:jc w:val="center"/>
                    <w:rPr>
                      <w:rFonts w:ascii="Aptos" w:hAnsi="Aptos" w:cs="Arial"/>
                      <w:b/>
                      <w:bCs/>
                      <w:color w:val="FFFFFF" w:themeColor="background1"/>
                      <w:sz w:val="20"/>
                      <w:szCs w:val="20"/>
                    </w:rPr>
                  </w:pPr>
                  <w:r w:rsidRPr="00260823">
                    <w:rPr>
                      <w:rFonts w:ascii="Aptos" w:hAnsi="Aptos" w:cs="Arial"/>
                      <w:b/>
                      <w:bCs/>
                      <w:color w:val="FFFFFF" w:themeColor="background1"/>
                      <w:sz w:val="20"/>
                      <w:szCs w:val="20"/>
                    </w:rPr>
                    <w:t>MOYENNE 5 ANS</w:t>
                  </w:r>
                </w:p>
              </w:tc>
            </w:tr>
            <w:tr w:rsidR="00DF4027" w:rsidRPr="00260823" w14:paraId="388E9BBC" w14:textId="77777777" w:rsidTr="00915332">
              <w:trPr>
                <w:trHeight w:val="631"/>
              </w:trPr>
              <w:tc>
                <w:tcPr>
                  <w:tcW w:w="9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E0A1E7" w14:textId="77777777" w:rsidR="00DF4027" w:rsidRPr="00260823" w:rsidRDefault="00DF4027" w:rsidP="0029344B">
                  <w:pPr>
                    <w:spacing w:after="0" w:line="240" w:lineRule="auto"/>
                    <w:rPr>
                      <w:rFonts w:ascii="Aptos" w:hAnsi="Aptos" w:cs="Arial"/>
                      <w:sz w:val="18"/>
                      <w:szCs w:val="18"/>
                    </w:rPr>
                  </w:pPr>
                  <w:r w:rsidRPr="00260823">
                    <w:rPr>
                      <w:rFonts w:ascii="Aptos" w:hAnsi="Aptos" w:cs="Arial"/>
                      <w:sz w:val="18"/>
                      <w:szCs w:val="18"/>
                    </w:rPr>
                    <w:t>Sauvegardes</w:t>
                  </w:r>
                </w:p>
              </w:tc>
              <w:tc>
                <w:tcPr>
                  <w:tcW w:w="4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B002B1" w14:textId="105B25BD"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289</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643017" w14:textId="13C38C1E"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431</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95E2DC" w14:textId="4FE3272D"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416</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2CD92E" w14:textId="5862BFBD"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349</w:t>
                  </w:r>
                </w:p>
              </w:tc>
              <w:tc>
                <w:tcPr>
                  <w:tcW w:w="480" w:type="pct"/>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09948997" w14:textId="5F62A00F" w:rsidR="00DF4027" w:rsidRPr="00260823" w:rsidRDefault="00DF4027" w:rsidP="00915332">
                  <w:pPr>
                    <w:spacing w:after="0" w:line="240" w:lineRule="auto"/>
                    <w:jc w:val="center"/>
                    <w:rPr>
                      <w:rFonts w:ascii="Aptos" w:hAnsi="Aptos" w:cs="Arial"/>
                      <w:b/>
                      <w:bCs/>
                      <w:sz w:val="20"/>
                      <w:szCs w:val="20"/>
                    </w:rPr>
                  </w:pPr>
                  <w:r w:rsidRPr="00260823">
                    <w:rPr>
                      <w:rFonts w:ascii="Aptos" w:hAnsi="Aptos" w:cs="Arial"/>
                      <w:sz w:val="20"/>
                      <w:szCs w:val="20"/>
                    </w:rPr>
                    <w:t>349</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6F0B19" w14:textId="1D9B9D13"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0,0%</w:t>
                  </w:r>
                </w:p>
              </w:tc>
              <w:tc>
                <w:tcPr>
                  <w:tcW w:w="120" w:type="pct"/>
                  <w:tcBorders>
                    <w:top w:val="nil"/>
                    <w:left w:val="single" w:sz="4" w:space="0" w:color="BFBFBF" w:themeColor="background1" w:themeShade="BF"/>
                    <w:bottom w:val="nil"/>
                    <w:right w:val="single" w:sz="4" w:space="0" w:color="BFBFBF" w:themeColor="background1" w:themeShade="BF"/>
                  </w:tcBorders>
                  <w:vAlign w:val="center"/>
                </w:tcPr>
                <w:p w14:paraId="19097C20" w14:textId="77777777" w:rsidR="00DF4027" w:rsidRPr="00260823" w:rsidRDefault="00DF4027" w:rsidP="00915332">
                  <w:pPr>
                    <w:spacing w:after="0" w:line="240" w:lineRule="auto"/>
                    <w:jc w:val="center"/>
                    <w:rPr>
                      <w:rFonts w:ascii="Aptos" w:hAnsi="Aptos" w:cs="Arial"/>
                      <w:sz w:val="20"/>
                      <w:szCs w:val="20"/>
                    </w:rPr>
                  </w:pPr>
                </w:p>
              </w:tc>
              <w:tc>
                <w:tcPr>
                  <w:tcW w:w="8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EB9A63" w14:textId="65A33697"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367</w:t>
                  </w:r>
                </w:p>
              </w:tc>
            </w:tr>
            <w:tr w:rsidR="00DF4027" w:rsidRPr="00260823" w14:paraId="5FCB08D4" w14:textId="77777777" w:rsidTr="00915332">
              <w:trPr>
                <w:trHeight w:val="701"/>
              </w:trPr>
              <w:tc>
                <w:tcPr>
                  <w:tcW w:w="9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F957FB" w14:textId="77777777" w:rsidR="00DF4027" w:rsidRPr="00260823" w:rsidRDefault="00DF4027" w:rsidP="0029344B">
                  <w:pPr>
                    <w:spacing w:after="0" w:line="240" w:lineRule="auto"/>
                    <w:rPr>
                      <w:rFonts w:ascii="Aptos" w:hAnsi="Aptos" w:cs="Arial"/>
                      <w:sz w:val="18"/>
                      <w:szCs w:val="18"/>
                    </w:rPr>
                  </w:pPr>
                  <w:r w:rsidRPr="00260823">
                    <w:rPr>
                      <w:rFonts w:ascii="Aptos" w:hAnsi="Aptos" w:cs="Arial"/>
                      <w:sz w:val="18"/>
                      <w:szCs w:val="18"/>
                    </w:rPr>
                    <w:t>Redressements Judiciaires</w:t>
                  </w:r>
                </w:p>
              </w:tc>
              <w:tc>
                <w:tcPr>
                  <w:tcW w:w="4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B12C78" w14:textId="41722236"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2 325</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03F433" w14:textId="529745E9"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3 465</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BC24FE" w14:textId="1061E2C0"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4 817</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E3DD4B" w14:textId="164490D5"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5 177</w:t>
                  </w:r>
                </w:p>
              </w:tc>
              <w:tc>
                <w:tcPr>
                  <w:tcW w:w="480" w:type="pct"/>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BAD68DA" w14:textId="5F74EDE1" w:rsidR="00DF4027" w:rsidRPr="00260823" w:rsidRDefault="00DF4027" w:rsidP="00915332">
                  <w:pPr>
                    <w:spacing w:after="0" w:line="240" w:lineRule="auto"/>
                    <w:jc w:val="center"/>
                    <w:rPr>
                      <w:rFonts w:ascii="Aptos" w:hAnsi="Aptos" w:cs="Arial"/>
                      <w:b/>
                      <w:bCs/>
                      <w:sz w:val="20"/>
                      <w:szCs w:val="20"/>
                    </w:rPr>
                  </w:pPr>
                  <w:r w:rsidRPr="00260823">
                    <w:rPr>
                      <w:rFonts w:ascii="Aptos" w:hAnsi="Aptos" w:cs="Arial"/>
                      <w:sz w:val="20"/>
                      <w:szCs w:val="20"/>
                    </w:rPr>
                    <w:t>5 546</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9C4E89" w14:textId="75E5A183"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7,1%</w:t>
                  </w:r>
                </w:p>
              </w:tc>
              <w:tc>
                <w:tcPr>
                  <w:tcW w:w="120" w:type="pct"/>
                  <w:tcBorders>
                    <w:top w:val="nil"/>
                    <w:left w:val="single" w:sz="4" w:space="0" w:color="BFBFBF" w:themeColor="background1" w:themeShade="BF"/>
                    <w:bottom w:val="nil"/>
                    <w:right w:val="single" w:sz="4" w:space="0" w:color="BFBFBF" w:themeColor="background1" w:themeShade="BF"/>
                  </w:tcBorders>
                  <w:vAlign w:val="center"/>
                </w:tcPr>
                <w:p w14:paraId="557DA15B" w14:textId="77777777" w:rsidR="00DF4027" w:rsidRPr="00260823" w:rsidRDefault="00DF4027" w:rsidP="00915332">
                  <w:pPr>
                    <w:spacing w:after="0" w:line="240" w:lineRule="auto"/>
                    <w:jc w:val="center"/>
                    <w:rPr>
                      <w:rFonts w:ascii="Aptos" w:hAnsi="Aptos" w:cs="Arial"/>
                      <w:sz w:val="20"/>
                      <w:szCs w:val="20"/>
                    </w:rPr>
                  </w:pPr>
                </w:p>
              </w:tc>
              <w:tc>
                <w:tcPr>
                  <w:tcW w:w="8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A3F3C1" w14:textId="23D6BAEA"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4 266</w:t>
                  </w:r>
                </w:p>
              </w:tc>
            </w:tr>
            <w:tr w:rsidR="00DF4027" w:rsidRPr="00260823" w14:paraId="150F1794" w14:textId="77777777" w:rsidTr="00915332">
              <w:trPr>
                <w:trHeight w:val="554"/>
              </w:trPr>
              <w:tc>
                <w:tcPr>
                  <w:tcW w:w="999" w:type="pct"/>
                  <w:tcBorders>
                    <w:top w:val="single" w:sz="4" w:space="0" w:color="BFBFBF" w:themeColor="background1" w:themeShade="BF"/>
                    <w:left w:val="single" w:sz="4" w:space="0" w:color="BFBFBF"/>
                    <w:bottom w:val="single" w:sz="4" w:space="0" w:color="auto"/>
                    <w:right w:val="single" w:sz="4" w:space="0" w:color="BFBFBF"/>
                  </w:tcBorders>
                  <w:vAlign w:val="center"/>
                  <w:hideMark/>
                </w:tcPr>
                <w:p w14:paraId="0B1EA56E" w14:textId="77777777" w:rsidR="00DF4027" w:rsidRPr="00260823" w:rsidRDefault="00DF4027" w:rsidP="0029344B">
                  <w:pPr>
                    <w:spacing w:after="0" w:line="240" w:lineRule="auto"/>
                    <w:rPr>
                      <w:rFonts w:ascii="Aptos" w:hAnsi="Aptos" w:cs="Arial"/>
                      <w:sz w:val="18"/>
                      <w:szCs w:val="18"/>
                    </w:rPr>
                  </w:pPr>
                  <w:r w:rsidRPr="00260823">
                    <w:rPr>
                      <w:rFonts w:ascii="Aptos" w:hAnsi="Aptos" w:cs="Arial"/>
                      <w:sz w:val="18"/>
                      <w:szCs w:val="18"/>
                    </w:rPr>
                    <w:t>Liquidations Judiciaires directes</w:t>
                  </w:r>
                </w:p>
              </w:tc>
              <w:tc>
                <w:tcPr>
                  <w:tcW w:w="479" w:type="pct"/>
                  <w:tcBorders>
                    <w:top w:val="single" w:sz="4" w:space="0" w:color="BFBFBF" w:themeColor="background1" w:themeShade="BF"/>
                    <w:left w:val="nil"/>
                    <w:bottom w:val="single" w:sz="4" w:space="0" w:color="auto"/>
                    <w:right w:val="nil"/>
                  </w:tcBorders>
                  <w:vAlign w:val="center"/>
                </w:tcPr>
                <w:p w14:paraId="31BD1C77" w14:textId="7FCD653E"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7 212</w:t>
                  </w:r>
                </w:p>
              </w:tc>
              <w:tc>
                <w:tcPr>
                  <w:tcW w:w="480" w:type="pct"/>
                  <w:tcBorders>
                    <w:top w:val="single" w:sz="4" w:space="0" w:color="BFBFBF" w:themeColor="background1" w:themeShade="BF"/>
                    <w:left w:val="single" w:sz="4" w:space="0" w:color="BFBFBF"/>
                    <w:bottom w:val="single" w:sz="4" w:space="0" w:color="auto"/>
                    <w:right w:val="nil"/>
                  </w:tcBorders>
                  <w:vAlign w:val="center"/>
                </w:tcPr>
                <w:p w14:paraId="3EF9E137" w14:textId="05B1EB3F"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9 370</w:t>
                  </w:r>
                </w:p>
              </w:tc>
              <w:tc>
                <w:tcPr>
                  <w:tcW w:w="480" w:type="pct"/>
                  <w:tcBorders>
                    <w:top w:val="single" w:sz="4" w:space="0" w:color="BFBFBF" w:themeColor="background1" w:themeShade="BF"/>
                    <w:left w:val="single" w:sz="4" w:space="0" w:color="BFBFBF"/>
                    <w:bottom w:val="single" w:sz="4" w:space="0" w:color="auto"/>
                    <w:right w:val="single" w:sz="4" w:space="0" w:color="BFBFBF" w:themeColor="background1" w:themeShade="BF"/>
                  </w:tcBorders>
                  <w:vAlign w:val="center"/>
                </w:tcPr>
                <w:p w14:paraId="1341C89C" w14:textId="159A7CC6"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11 138</w:t>
                  </w:r>
                </w:p>
              </w:tc>
              <w:tc>
                <w:tcPr>
                  <w:tcW w:w="480" w:type="pct"/>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5DB9C30A" w14:textId="62B163D6"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11 060</w:t>
                  </w:r>
                </w:p>
              </w:tc>
              <w:tc>
                <w:tcPr>
                  <w:tcW w:w="480" w:type="pct"/>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tcPr>
                <w:p w14:paraId="3A7C4394" w14:textId="4A4FF384" w:rsidR="00DF4027" w:rsidRPr="00260823" w:rsidRDefault="00DF4027" w:rsidP="00915332">
                  <w:pPr>
                    <w:spacing w:after="0" w:line="240" w:lineRule="auto"/>
                    <w:jc w:val="center"/>
                    <w:rPr>
                      <w:rFonts w:ascii="Aptos" w:hAnsi="Aptos" w:cs="Arial"/>
                      <w:b/>
                      <w:bCs/>
                      <w:sz w:val="20"/>
                      <w:szCs w:val="20"/>
                    </w:rPr>
                  </w:pPr>
                  <w:r w:rsidRPr="00260823">
                    <w:rPr>
                      <w:rFonts w:ascii="Aptos" w:hAnsi="Aptos" w:cs="Arial"/>
                      <w:sz w:val="20"/>
                      <w:szCs w:val="20"/>
                    </w:rPr>
                    <w:t>11 591</w:t>
                  </w:r>
                </w:p>
              </w:tc>
              <w:tc>
                <w:tcPr>
                  <w:tcW w:w="644" w:type="pct"/>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4C3962A6" w14:textId="057226F7"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4,8%</w:t>
                  </w:r>
                </w:p>
              </w:tc>
              <w:tc>
                <w:tcPr>
                  <w:tcW w:w="120" w:type="pct"/>
                  <w:tcBorders>
                    <w:top w:val="nil"/>
                    <w:left w:val="single" w:sz="4" w:space="0" w:color="BFBFBF" w:themeColor="background1" w:themeShade="BF"/>
                    <w:bottom w:val="nil"/>
                    <w:right w:val="single" w:sz="4" w:space="0" w:color="BFBFBF" w:themeColor="background1" w:themeShade="BF"/>
                  </w:tcBorders>
                  <w:vAlign w:val="center"/>
                </w:tcPr>
                <w:p w14:paraId="508A6AFF" w14:textId="77777777" w:rsidR="00DF4027" w:rsidRPr="00260823" w:rsidRDefault="00DF4027" w:rsidP="00915332">
                  <w:pPr>
                    <w:spacing w:after="0" w:line="240" w:lineRule="auto"/>
                    <w:jc w:val="center"/>
                    <w:rPr>
                      <w:rFonts w:ascii="Aptos" w:hAnsi="Aptos" w:cs="Arial"/>
                      <w:sz w:val="20"/>
                      <w:szCs w:val="20"/>
                    </w:rPr>
                  </w:pPr>
                </w:p>
              </w:tc>
              <w:tc>
                <w:tcPr>
                  <w:tcW w:w="8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3799AB" w14:textId="783DE292"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10 074</w:t>
                  </w:r>
                </w:p>
              </w:tc>
            </w:tr>
            <w:tr w:rsidR="00DF4027" w:rsidRPr="00260823" w14:paraId="1E39AB99" w14:textId="77777777" w:rsidTr="0029344B">
              <w:trPr>
                <w:trHeight w:val="402"/>
              </w:trPr>
              <w:tc>
                <w:tcPr>
                  <w:tcW w:w="999" w:type="pct"/>
                  <w:tcBorders>
                    <w:top w:val="single" w:sz="4" w:space="0" w:color="auto"/>
                    <w:left w:val="single" w:sz="4" w:space="0" w:color="BFBFBF"/>
                    <w:bottom w:val="single" w:sz="4" w:space="0" w:color="auto"/>
                    <w:right w:val="single" w:sz="4" w:space="0" w:color="BFBFBF"/>
                  </w:tcBorders>
                  <w:shd w:val="clear" w:color="auto" w:fill="C1E4F5" w:themeFill="accent1" w:themeFillTint="33"/>
                  <w:vAlign w:val="center"/>
                  <w:hideMark/>
                </w:tcPr>
                <w:p w14:paraId="7F08562A" w14:textId="77777777" w:rsidR="00DF4027" w:rsidRPr="00260823" w:rsidRDefault="00DF4027" w:rsidP="0029344B">
                  <w:pPr>
                    <w:spacing w:after="0" w:line="240" w:lineRule="auto"/>
                    <w:rPr>
                      <w:rFonts w:ascii="Aptos" w:hAnsi="Aptos" w:cs="Arial"/>
                      <w:b/>
                      <w:sz w:val="18"/>
                      <w:szCs w:val="18"/>
                    </w:rPr>
                  </w:pPr>
                  <w:r w:rsidRPr="00260823">
                    <w:rPr>
                      <w:rFonts w:ascii="Aptos" w:hAnsi="Aptos" w:cs="Arial"/>
                      <w:b/>
                      <w:sz w:val="18"/>
                      <w:szCs w:val="18"/>
                    </w:rPr>
                    <w:t>Total défaillances</w:t>
                  </w:r>
                </w:p>
              </w:tc>
              <w:tc>
                <w:tcPr>
                  <w:tcW w:w="479" w:type="pct"/>
                  <w:tcBorders>
                    <w:top w:val="single" w:sz="4" w:space="0" w:color="auto"/>
                    <w:left w:val="nil"/>
                    <w:bottom w:val="single" w:sz="4" w:space="0" w:color="auto"/>
                    <w:right w:val="single" w:sz="4" w:space="0" w:color="BFBFBF"/>
                  </w:tcBorders>
                  <w:shd w:val="clear" w:color="auto" w:fill="C1E4F5" w:themeFill="accent1" w:themeFillTint="33"/>
                  <w:vAlign w:val="center"/>
                </w:tcPr>
                <w:p w14:paraId="7DDE7B72" w14:textId="24F62F5D" w:rsidR="00DF4027" w:rsidRPr="00260823" w:rsidRDefault="00DF4027" w:rsidP="00915332">
                  <w:pPr>
                    <w:spacing w:after="0" w:line="240" w:lineRule="auto"/>
                    <w:jc w:val="center"/>
                    <w:rPr>
                      <w:rFonts w:ascii="Aptos" w:hAnsi="Aptos" w:cs="Arial"/>
                      <w:b/>
                      <w:sz w:val="20"/>
                      <w:szCs w:val="20"/>
                    </w:rPr>
                  </w:pPr>
                  <w:r w:rsidRPr="00260823">
                    <w:rPr>
                      <w:rFonts w:ascii="Aptos" w:hAnsi="Aptos" w:cs="Arial"/>
                      <w:b/>
                      <w:sz w:val="20"/>
                      <w:szCs w:val="20"/>
                    </w:rPr>
                    <w:t>9 826</w:t>
                  </w:r>
                </w:p>
              </w:tc>
              <w:tc>
                <w:tcPr>
                  <w:tcW w:w="480" w:type="pct"/>
                  <w:tcBorders>
                    <w:top w:val="single" w:sz="4" w:space="0" w:color="auto"/>
                    <w:left w:val="nil"/>
                    <w:bottom w:val="single" w:sz="4" w:space="0" w:color="auto"/>
                    <w:right w:val="single" w:sz="4" w:space="0" w:color="BFBFBF"/>
                  </w:tcBorders>
                  <w:shd w:val="clear" w:color="auto" w:fill="C1E4F5" w:themeFill="accent1" w:themeFillTint="33"/>
                  <w:vAlign w:val="center"/>
                </w:tcPr>
                <w:p w14:paraId="5B32BDB9" w14:textId="4426DE22" w:rsidR="00DF4027" w:rsidRPr="00260823" w:rsidRDefault="00DF4027" w:rsidP="00915332">
                  <w:pPr>
                    <w:spacing w:after="0" w:line="240" w:lineRule="auto"/>
                    <w:jc w:val="center"/>
                    <w:rPr>
                      <w:rFonts w:ascii="Aptos" w:hAnsi="Aptos" w:cs="Arial"/>
                      <w:b/>
                      <w:sz w:val="20"/>
                      <w:szCs w:val="20"/>
                    </w:rPr>
                  </w:pPr>
                  <w:r w:rsidRPr="00260823">
                    <w:rPr>
                      <w:rFonts w:ascii="Aptos" w:hAnsi="Aptos" w:cs="Arial"/>
                      <w:b/>
                      <w:sz w:val="20"/>
                      <w:szCs w:val="20"/>
                    </w:rPr>
                    <w:t>13 266</w:t>
                  </w:r>
                </w:p>
              </w:tc>
              <w:tc>
                <w:tcPr>
                  <w:tcW w:w="480" w:type="pct"/>
                  <w:tcBorders>
                    <w:top w:val="single" w:sz="4" w:space="0" w:color="auto"/>
                    <w:left w:val="nil"/>
                    <w:bottom w:val="single" w:sz="4" w:space="0" w:color="auto"/>
                    <w:right w:val="single" w:sz="4" w:space="0" w:color="BFBFBF"/>
                  </w:tcBorders>
                  <w:shd w:val="clear" w:color="auto" w:fill="C1E4F5" w:themeFill="accent1" w:themeFillTint="33"/>
                  <w:vAlign w:val="center"/>
                </w:tcPr>
                <w:p w14:paraId="44A53F0B" w14:textId="726230C9" w:rsidR="00DF4027" w:rsidRPr="00260823" w:rsidRDefault="00DF4027" w:rsidP="00915332">
                  <w:pPr>
                    <w:spacing w:after="0" w:line="240" w:lineRule="auto"/>
                    <w:jc w:val="center"/>
                    <w:rPr>
                      <w:rFonts w:ascii="Aptos" w:hAnsi="Aptos" w:cs="Arial"/>
                      <w:b/>
                      <w:sz w:val="20"/>
                      <w:szCs w:val="20"/>
                    </w:rPr>
                  </w:pPr>
                  <w:r w:rsidRPr="00260823">
                    <w:rPr>
                      <w:rFonts w:ascii="Aptos" w:hAnsi="Aptos" w:cs="Arial"/>
                      <w:b/>
                      <w:sz w:val="20"/>
                      <w:szCs w:val="20"/>
                    </w:rPr>
                    <w:t>16 371</w:t>
                  </w:r>
                </w:p>
              </w:tc>
              <w:tc>
                <w:tcPr>
                  <w:tcW w:w="480" w:type="pct"/>
                  <w:tcBorders>
                    <w:top w:val="single" w:sz="4" w:space="0" w:color="auto"/>
                    <w:left w:val="nil"/>
                    <w:bottom w:val="single" w:sz="4" w:space="0" w:color="auto"/>
                    <w:right w:val="single" w:sz="4" w:space="0" w:color="BFBFBF"/>
                  </w:tcBorders>
                  <w:shd w:val="clear" w:color="auto" w:fill="C1E4F5" w:themeFill="accent1" w:themeFillTint="33"/>
                  <w:vAlign w:val="center"/>
                </w:tcPr>
                <w:p w14:paraId="127064DC" w14:textId="7DA1E6DC" w:rsidR="00DF4027" w:rsidRPr="00260823" w:rsidRDefault="00DF4027" w:rsidP="00915332">
                  <w:pPr>
                    <w:spacing w:after="0" w:line="240" w:lineRule="auto"/>
                    <w:jc w:val="center"/>
                    <w:rPr>
                      <w:rFonts w:ascii="Aptos" w:hAnsi="Aptos" w:cs="Arial"/>
                      <w:b/>
                      <w:sz w:val="20"/>
                      <w:szCs w:val="20"/>
                    </w:rPr>
                  </w:pPr>
                  <w:r w:rsidRPr="00260823">
                    <w:rPr>
                      <w:rFonts w:ascii="Aptos" w:hAnsi="Aptos" w:cs="Arial"/>
                      <w:b/>
                      <w:sz w:val="20"/>
                      <w:szCs w:val="20"/>
                    </w:rPr>
                    <w:t>16 586</w:t>
                  </w:r>
                </w:p>
              </w:tc>
              <w:tc>
                <w:tcPr>
                  <w:tcW w:w="480" w:type="pct"/>
                  <w:tcBorders>
                    <w:top w:val="single" w:sz="4" w:space="0" w:color="auto"/>
                    <w:left w:val="nil"/>
                    <w:bottom w:val="single" w:sz="4" w:space="0" w:color="auto"/>
                    <w:right w:val="single" w:sz="4" w:space="0" w:color="BFBFBF"/>
                  </w:tcBorders>
                  <w:shd w:val="clear" w:color="auto" w:fill="C1E4F5" w:themeFill="accent1" w:themeFillTint="33"/>
                  <w:vAlign w:val="center"/>
                </w:tcPr>
                <w:p w14:paraId="7CDA19EB" w14:textId="398C0C0D" w:rsidR="00DF4027" w:rsidRPr="00260823" w:rsidRDefault="00DF4027" w:rsidP="00915332">
                  <w:pPr>
                    <w:spacing w:after="0" w:line="240" w:lineRule="auto"/>
                    <w:jc w:val="center"/>
                    <w:rPr>
                      <w:rFonts w:ascii="Aptos" w:hAnsi="Aptos" w:cs="Arial"/>
                      <w:b/>
                      <w:sz w:val="20"/>
                      <w:szCs w:val="20"/>
                    </w:rPr>
                  </w:pPr>
                  <w:r w:rsidRPr="00260823">
                    <w:rPr>
                      <w:rFonts w:ascii="Aptos" w:hAnsi="Aptos" w:cs="Arial"/>
                      <w:b/>
                      <w:sz w:val="20"/>
                      <w:szCs w:val="20"/>
                    </w:rPr>
                    <w:t>17</w:t>
                  </w:r>
                  <w:r w:rsidR="000A0C79" w:rsidRPr="00260823">
                    <w:rPr>
                      <w:rFonts w:ascii="Aptos" w:hAnsi="Aptos" w:cs="Arial"/>
                      <w:b/>
                      <w:sz w:val="20"/>
                      <w:szCs w:val="20"/>
                    </w:rPr>
                    <w:t xml:space="preserve"> </w:t>
                  </w:r>
                  <w:r w:rsidRPr="00260823">
                    <w:rPr>
                      <w:rFonts w:ascii="Aptos" w:hAnsi="Aptos" w:cs="Arial"/>
                      <w:b/>
                      <w:sz w:val="20"/>
                      <w:szCs w:val="20"/>
                    </w:rPr>
                    <w:t>486</w:t>
                  </w:r>
                </w:p>
              </w:tc>
              <w:tc>
                <w:tcPr>
                  <w:tcW w:w="644" w:type="pct"/>
                  <w:tcBorders>
                    <w:top w:val="single" w:sz="4" w:space="0" w:color="auto"/>
                    <w:left w:val="nil"/>
                    <w:bottom w:val="single" w:sz="4" w:space="0" w:color="auto"/>
                    <w:right w:val="single" w:sz="4" w:space="0" w:color="BFBFBF" w:themeColor="background1" w:themeShade="BF"/>
                  </w:tcBorders>
                  <w:shd w:val="clear" w:color="auto" w:fill="C1E4F5" w:themeFill="accent1" w:themeFillTint="33"/>
                  <w:vAlign w:val="center"/>
                </w:tcPr>
                <w:p w14:paraId="56214FF2" w14:textId="074D7553" w:rsidR="00DF4027" w:rsidRPr="00260823" w:rsidRDefault="00DF4027" w:rsidP="00915332">
                  <w:pPr>
                    <w:spacing w:after="0" w:line="240" w:lineRule="auto"/>
                    <w:jc w:val="center"/>
                    <w:rPr>
                      <w:rFonts w:ascii="Aptos" w:hAnsi="Aptos" w:cs="Arial"/>
                      <w:b/>
                      <w:sz w:val="20"/>
                      <w:szCs w:val="20"/>
                    </w:rPr>
                  </w:pPr>
                  <w:r w:rsidRPr="00260823">
                    <w:rPr>
                      <w:rFonts w:ascii="Aptos" w:hAnsi="Aptos" w:cs="Arial"/>
                      <w:b/>
                      <w:sz w:val="20"/>
                      <w:szCs w:val="20"/>
                    </w:rPr>
                    <w:t>5,4%</w:t>
                  </w:r>
                </w:p>
              </w:tc>
              <w:tc>
                <w:tcPr>
                  <w:tcW w:w="120" w:type="pct"/>
                  <w:tcBorders>
                    <w:top w:val="nil"/>
                    <w:left w:val="single" w:sz="4" w:space="0" w:color="BFBFBF" w:themeColor="background1" w:themeShade="BF"/>
                    <w:bottom w:val="nil"/>
                    <w:right w:val="single" w:sz="4" w:space="0" w:color="BFBFBF" w:themeColor="background1" w:themeShade="BF"/>
                  </w:tcBorders>
                  <w:shd w:val="clear" w:color="auto" w:fill="C1E4F5" w:themeFill="accent1" w:themeFillTint="33"/>
                  <w:vAlign w:val="center"/>
                </w:tcPr>
                <w:p w14:paraId="5704CF41" w14:textId="77777777" w:rsidR="00DF4027" w:rsidRPr="00260823" w:rsidRDefault="00DF4027" w:rsidP="00915332">
                  <w:pPr>
                    <w:spacing w:after="0" w:line="240" w:lineRule="auto"/>
                    <w:jc w:val="center"/>
                    <w:rPr>
                      <w:rFonts w:ascii="Aptos" w:hAnsi="Aptos" w:cs="Arial"/>
                      <w:b/>
                      <w:sz w:val="20"/>
                      <w:szCs w:val="20"/>
                    </w:rPr>
                  </w:pPr>
                </w:p>
              </w:tc>
              <w:tc>
                <w:tcPr>
                  <w:tcW w:w="838" w:type="pct"/>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C1E4F5" w:themeFill="accent1" w:themeFillTint="33"/>
                  <w:vAlign w:val="center"/>
                </w:tcPr>
                <w:p w14:paraId="6E8FD05E" w14:textId="7929F026" w:rsidR="00DF4027" w:rsidRPr="00260823" w:rsidRDefault="00DF4027" w:rsidP="00915332">
                  <w:pPr>
                    <w:spacing w:after="0" w:line="240" w:lineRule="auto"/>
                    <w:jc w:val="center"/>
                    <w:rPr>
                      <w:rFonts w:ascii="Aptos" w:hAnsi="Aptos" w:cs="Arial"/>
                      <w:b/>
                      <w:sz w:val="20"/>
                      <w:szCs w:val="20"/>
                    </w:rPr>
                  </w:pPr>
                  <w:r w:rsidRPr="00260823">
                    <w:rPr>
                      <w:rFonts w:ascii="Aptos" w:hAnsi="Aptos" w:cs="Arial"/>
                      <w:b/>
                      <w:sz w:val="20"/>
                      <w:szCs w:val="20"/>
                    </w:rPr>
                    <w:t>14 707</w:t>
                  </w:r>
                </w:p>
              </w:tc>
            </w:tr>
            <w:tr w:rsidR="00DF4027" w:rsidRPr="00260823" w14:paraId="728616A7" w14:textId="77777777" w:rsidTr="00915332">
              <w:trPr>
                <w:trHeight w:val="402"/>
              </w:trPr>
              <w:tc>
                <w:tcPr>
                  <w:tcW w:w="999" w:type="pct"/>
                  <w:tcBorders>
                    <w:top w:val="single" w:sz="4" w:space="0" w:color="auto"/>
                    <w:left w:val="single" w:sz="4" w:space="0" w:color="BFBFBF"/>
                    <w:bottom w:val="single" w:sz="4" w:space="0" w:color="BFBFBF" w:themeColor="background1" w:themeShade="BF"/>
                    <w:right w:val="single" w:sz="4" w:space="0" w:color="BFBFBF"/>
                  </w:tcBorders>
                  <w:shd w:val="clear" w:color="auto" w:fill="FFFFFF"/>
                  <w:vAlign w:val="center"/>
                  <w:hideMark/>
                </w:tcPr>
                <w:p w14:paraId="2578D364" w14:textId="77777777" w:rsidR="00DF4027" w:rsidRPr="00260823" w:rsidRDefault="00DF4027" w:rsidP="0029344B">
                  <w:pPr>
                    <w:spacing w:after="0" w:line="240" w:lineRule="auto"/>
                    <w:rPr>
                      <w:rFonts w:ascii="Aptos" w:hAnsi="Aptos" w:cs="Arial"/>
                      <w:bCs/>
                      <w:sz w:val="18"/>
                      <w:szCs w:val="18"/>
                    </w:rPr>
                  </w:pPr>
                  <w:r w:rsidRPr="00260823">
                    <w:rPr>
                      <w:rFonts w:ascii="Aptos" w:hAnsi="Aptos" w:cs="Arial"/>
                      <w:bCs/>
                      <w:sz w:val="18"/>
                      <w:szCs w:val="18"/>
                    </w:rPr>
                    <w:t>Total Emplois menacés</w:t>
                  </w:r>
                </w:p>
              </w:tc>
              <w:tc>
                <w:tcPr>
                  <w:tcW w:w="479" w:type="pct"/>
                  <w:tcBorders>
                    <w:top w:val="single" w:sz="4" w:space="0" w:color="auto"/>
                    <w:left w:val="nil"/>
                    <w:bottom w:val="single" w:sz="4" w:space="0" w:color="BFBFBF" w:themeColor="background1" w:themeShade="BF"/>
                    <w:right w:val="single" w:sz="4" w:space="0" w:color="BFBFBF"/>
                  </w:tcBorders>
                  <w:shd w:val="clear" w:color="auto" w:fill="FFFFFF"/>
                  <w:vAlign w:val="center"/>
                </w:tcPr>
                <w:p w14:paraId="27526FC2" w14:textId="58EEDE69" w:rsidR="00DF4027" w:rsidRPr="00260823" w:rsidRDefault="00DF4027" w:rsidP="00915332">
                  <w:pPr>
                    <w:spacing w:after="0" w:line="240" w:lineRule="auto"/>
                    <w:jc w:val="center"/>
                    <w:rPr>
                      <w:rFonts w:ascii="Aptos" w:hAnsi="Aptos" w:cs="Arial"/>
                      <w:sz w:val="20"/>
                      <w:szCs w:val="20"/>
                    </w:rPr>
                  </w:pPr>
                  <w:r w:rsidRPr="00260823">
                    <w:rPr>
                      <w:rFonts w:ascii="Aptos" w:hAnsi="Aptos" w:cs="Arial"/>
                      <w:b/>
                      <w:bCs/>
                      <w:sz w:val="20"/>
                      <w:szCs w:val="20"/>
                    </w:rPr>
                    <w:t>30 560</w:t>
                  </w:r>
                </w:p>
              </w:tc>
              <w:tc>
                <w:tcPr>
                  <w:tcW w:w="480" w:type="pct"/>
                  <w:tcBorders>
                    <w:top w:val="single" w:sz="4" w:space="0" w:color="auto"/>
                    <w:left w:val="nil"/>
                    <w:bottom w:val="single" w:sz="4" w:space="0" w:color="BFBFBF" w:themeColor="background1" w:themeShade="BF"/>
                    <w:right w:val="single" w:sz="4" w:space="0" w:color="BFBFBF"/>
                  </w:tcBorders>
                  <w:shd w:val="clear" w:color="auto" w:fill="FFFFFF"/>
                  <w:vAlign w:val="center"/>
                </w:tcPr>
                <w:p w14:paraId="20962372" w14:textId="5ED73EAE" w:rsidR="00DF4027" w:rsidRPr="00260823" w:rsidRDefault="00DF4027" w:rsidP="00915332">
                  <w:pPr>
                    <w:spacing w:after="0" w:line="240" w:lineRule="auto"/>
                    <w:jc w:val="center"/>
                    <w:rPr>
                      <w:rFonts w:ascii="Aptos" w:hAnsi="Aptos" w:cs="Arial"/>
                      <w:sz w:val="20"/>
                      <w:szCs w:val="20"/>
                    </w:rPr>
                  </w:pPr>
                  <w:r w:rsidRPr="00260823">
                    <w:rPr>
                      <w:rFonts w:ascii="Aptos" w:hAnsi="Aptos" w:cs="Arial"/>
                      <w:b/>
                      <w:bCs/>
                      <w:sz w:val="20"/>
                      <w:szCs w:val="20"/>
                    </w:rPr>
                    <w:t>55 700</w:t>
                  </w:r>
                </w:p>
              </w:tc>
              <w:tc>
                <w:tcPr>
                  <w:tcW w:w="480" w:type="pct"/>
                  <w:tcBorders>
                    <w:top w:val="single" w:sz="4" w:space="0" w:color="auto"/>
                    <w:left w:val="nil"/>
                    <w:bottom w:val="single" w:sz="4" w:space="0" w:color="BFBFBF" w:themeColor="background1" w:themeShade="BF"/>
                    <w:right w:val="single" w:sz="4" w:space="0" w:color="BFBFBF"/>
                  </w:tcBorders>
                  <w:shd w:val="clear" w:color="auto" w:fill="FFFFFF"/>
                  <w:vAlign w:val="center"/>
                </w:tcPr>
                <w:p w14:paraId="3ADA8835" w14:textId="028C7F91" w:rsidR="00DF4027" w:rsidRPr="00260823" w:rsidRDefault="00DF4027" w:rsidP="00915332">
                  <w:pPr>
                    <w:spacing w:after="0" w:line="240" w:lineRule="auto"/>
                    <w:jc w:val="center"/>
                    <w:rPr>
                      <w:rFonts w:ascii="Aptos" w:hAnsi="Aptos" w:cs="Arial"/>
                      <w:sz w:val="20"/>
                      <w:szCs w:val="20"/>
                    </w:rPr>
                  </w:pPr>
                  <w:r w:rsidRPr="00260823">
                    <w:rPr>
                      <w:rFonts w:ascii="Aptos" w:hAnsi="Aptos" w:cs="Arial"/>
                      <w:b/>
                      <w:bCs/>
                      <w:sz w:val="20"/>
                      <w:szCs w:val="20"/>
                    </w:rPr>
                    <w:t>69 500</w:t>
                  </w:r>
                </w:p>
              </w:tc>
              <w:tc>
                <w:tcPr>
                  <w:tcW w:w="480" w:type="pct"/>
                  <w:tcBorders>
                    <w:top w:val="single" w:sz="4" w:space="0" w:color="auto"/>
                    <w:left w:val="nil"/>
                    <w:bottom w:val="single" w:sz="4" w:space="0" w:color="BFBFBF" w:themeColor="background1" w:themeShade="BF"/>
                    <w:right w:val="single" w:sz="4" w:space="0" w:color="BFBFBF"/>
                  </w:tcBorders>
                  <w:shd w:val="clear" w:color="auto" w:fill="FFFFFF"/>
                  <w:vAlign w:val="center"/>
                </w:tcPr>
                <w:p w14:paraId="6CA83124" w14:textId="630695CC" w:rsidR="00DF4027" w:rsidRPr="00260823" w:rsidRDefault="00DF4027" w:rsidP="00915332">
                  <w:pPr>
                    <w:spacing w:after="0" w:line="240" w:lineRule="auto"/>
                    <w:jc w:val="center"/>
                    <w:rPr>
                      <w:rFonts w:ascii="Aptos" w:hAnsi="Aptos" w:cs="Arial"/>
                      <w:sz w:val="20"/>
                      <w:szCs w:val="20"/>
                    </w:rPr>
                  </w:pPr>
                  <w:r w:rsidRPr="00260823">
                    <w:rPr>
                      <w:rFonts w:ascii="Aptos" w:hAnsi="Aptos" w:cs="Arial"/>
                      <w:b/>
                      <w:bCs/>
                      <w:sz w:val="20"/>
                      <w:szCs w:val="20"/>
                    </w:rPr>
                    <w:t>65 000</w:t>
                  </w:r>
                </w:p>
              </w:tc>
              <w:tc>
                <w:tcPr>
                  <w:tcW w:w="480" w:type="pct"/>
                  <w:tcBorders>
                    <w:top w:val="single" w:sz="4" w:space="0" w:color="auto"/>
                    <w:left w:val="nil"/>
                    <w:bottom w:val="single" w:sz="4" w:space="0" w:color="BFBFBF" w:themeColor="background1" w:themeShade="BF"/>
                    <w:right w:val="single" w:sz="4" w:space="0" w:color="BFBFBF"/>
                  </w:tcBorders>
                  <w:shd w:val="clear" w:color="auto" w:fill="FFFFFF"/>
                  <w:vAlign w:val="center"/>
                </w:tcPr>
                <w:p w14:paraId="0B7234C2" w14:textId="0EAD8ED4" w:rsidR="00DF4027" w:rsidRPr="00260823" w:rsidRDefault="00DF4027" w:rsidP="00915332">
                  <w:pPr>
                    <w:spacing w:after="0" w:line="240" w:lineRule="auto"/>
                    <w:jc w:val="center"/>
                    <w:rPr>
                      <w:rFonts w:ascii="Aptos" w:hAnsi="Aptos" w:cs="Arial"/>
                      <w:b/>
                      <w:bCs/>
                      <w:sz w:val="20"/>
                      <w:szCs w:val="20"/>
                    </w:rPr>
                  </w:pPr>
                  <w:r w:rsidRPr="00260823">
                    <w:rPr>
                      <w:rFonts w:ascii="Aptos" w:hAnsi="Aptos" w:cs="Arial"/>
                      <w:b/>
                      <w:bCs/>
                      <w:sz w:val="20"/>
                      <w:szCs w:val="20"/>
                    </w:rPr>
                    <w:t>58 830</w:t>
                  </w:r>
                </w:p>
              </w:tc>
              <w:tc>
                <w:tcPr>
                  <w:tcW w:w="644"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FFFFF"/>
                  <w:vAlign w:val="center"/>
                </w:tcPr>
                <w:p w14:paraId="375EA190" w14:textId="1849CAE9" w:rsidR="00DF4027" w:rsidRPr="00260823" w:rsidRDefault="00DF4027" w:rsidP="00915332">
                  <w:pPr>
                    <w:spacing w:after="0"/>
                    <w:jc w:val="center"/>
                    <w:rPr>
                      <w:rFonts w:ascii="Aptos" w:hAnsi="Aptos" w:cs="Arial"/>
                      <w:b/>
                      <w:bCs/>
                      <w:sz w:val="20"/>
                      <w:szCs w:val="20"/>
                    </w:rPr>
                  </w:pPr>
                  <w:r w:rsidRPr="00260823">
                    <w:rPr>
                      <w:rFonts w:ascii="Aptos" w:hAnsi="Aptos" w:cs="Arial"/>
                      <w:b/>
                      <w:bCs/>
                      <w:sz w:val="20"/>
                      <w:szCs w:val="20"/>
                    </w:rPr>
                    <w:t>-9,5%</w:t>
                  </w:r>
                </w:p>
              </w:tc>
              <w:tc>
                <w:tcPr>
                  <w:tcW w:w="120" w:type="pct"/>
                  <w:tcBorders>
                    <w:top w:val="nil"/>
                    <w:left w:val="single" w:sz="4" w:space="0" w:color="BFBFBF" w:themeColor="background1" w:themeShade="BF"/>
                    <w:bottom w:val="nil"/>
                    <w:right w:val="single" w:sz="4" w:space="0" w:color="BFBFBF" w:themeColor="background1" w:themeShade="BF"/>
                  </w:tcBorders>
                  <w:vAlign w:val="center"/>
                </w:tcPr>
                <w:p w14:paraId="4468D5CC" w14:textId="77777777" w:rsidR="00DF4027" w:rsidRPr="00260823" w:rsidRDefault="00DF4027" w:rsidP="00915332">
                  <w:pPr>
                    <w:spacing w:after="0" w:line="240" w:lineRule="auto"/>
                    <w:jc w:val="center"/>
                    <w:rPr>
                      <w:rFonts w:ascii="Aptos" w:hAnsi="Aptos" w:cs="Arial"/>
                      <w:b/>
                      <w:bCs/>
                      <w:sz w:val="20"/>
                      <w:szCs w:val="20"/>
                    </w:rPr>
                  </w:pPr>
                </w:p>
              </w:tc>
              <w:tc>
                <w:tcPr>
                  <w:tcW w:w="8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ECDB4" w14:textId="6682A9F8" w:rsidR="00DF4027" w:rsidRPr="00260823" w:rsidRDefault="00DF4027" w:rsidP="00915332">
                  <w:pPr>
                    <w:spacing w:after="0"/>
                    <w:jc w:val="center"/>
                    <w:rPr>
                      <w:rFonts w:ascii="Aptos" w:hAnsi="Aptos" w:cs="Arial"/>
                      <w:b/>
                      <w:bCs/>
                      <w:sz w:val="20"/>
                      <w:szCs w:val="20"/>
                    </w:rPr>
                  </w:pPr>
                  <w:r w:rsidRPr="00260823">
                    <w:rPr>
                      <w:rFonts w:ascii="Aptos" w:hAnsi="Aptos" w:cs="Arial"/>
                      <w:b/>
                      <w:bCs/>
                      <w:sz w:val="20"/>
                      <w:szCs w:val="20"/>
                    </w:rPr>
                    <w:t>55 9</w:t>
                  </w:r>
                  <w:r w:rsidR="00360F0F">
                    <w:rPr>
                      <w:rFonts w:ascii="Aptos" w:hAnsi="Aptos" w:cs="Arial"/>
                      <w:b/>
                      <w:bCs/>
                      <w:sz w:val="20"/>
                      <w:szCs w:val="20"/>
                    </w:rPr>
                    <w:t>18</w:t>
                  </w:r>
                </w:p>
              </w:tc>
            </w:tr>
            <w:tr w:rsidR="00DF4027" w:rsidRPr="00260823" w14:paraId="5C0FDE71" w14:textId="77777777" w:rsidTr="00915332">
              <w:trPr>
                <w:trHeight w:val="402"/>
              </w:trPr>
              <w:tc>
                <w:tcPr>
                  <w:tcW w:w="9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1D200193" w14:textId="77777777" w:rsidR="00DF4027" w:rsidRPr="00260823" w:rsidRDefault="00DF4027" w:rsidP="0029344B">
                  <w:pPr>
                    <w:spacing w:after="0" w:line="240" w:lineRule="auto"/>
                    <w:rPr>
                      <w:rFonts w:ascii="Aptos" w:hAnsi="Aptos" w:cs="Arial"/>
                      <w:bCs/>
                      <w:sz w:val="18"/>
                      <w:szCs w:val="18"/>
                    </w:rPr>
                  </w:pPr>
                  <w:r w:rsidRPr="00260823">
                    <w:rPr>
                      <w:rFonts w:ascii="Aptos" w:hAnsi="Aptos" w:cs="Arial"/>
                      <w:bCs/>
                      <w:sz w:val="18"/>
                      <w:szCs w:val="18"/>
                    </w:rPr>
                    <w:t>Emplois menacés par entreprise</w:t>
                  </w:r>
                </w:p>
              </w:tc>
              <w:tc>
                <w:tcPr>
                  <w:tcW w:w="4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FE93672" w14:textId="334D0BB8" w:rsidR="00DF4027" w:rsidRPr="00260823" w:rsidRDefault="00DF4027" w:rsidP="00915332">
                  <w:pPr>
                    <w:spacing w:after="0" w:line="240" w:lineRule="auto"/>
                    <w:jc w:val="center"/>
                    <w:rPr>
                      <w:rFonts w:ascii="Aptos" w:hAnsi="Aptos" w:cs="Arial"/>
                      <w:sz w:val="20"/>
                      <w:szCs w:val="20"/>
                    </w:rPr>
                  </w:pPr>
                  <w:r w:rsidRPr="00260823">
                    <w:rPr>
                      <w:rFonts w:ascii="Aptos" w:hAnsi="Aptos" w:cs="Arial"/>
                      <w:b/>
                      <w:bCs/>
                      <w:sz w:val="20"/>
                      <w:szCs w:val="20"/>
                    </w:rPr>
                    <w:t>3,1</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0DAAFA5" w14:textId="2DC76E3B" w:rsidR="00DF4027" w:rsidRPr="00260823" w:rsidRDefault="00DF4027" w:rsidP="00915332">
                  <w:pPr>
                    <w:spacing w:after="0" w:line="240" w:lineRule="auto"/>
                    <w:jc w:val="center"/>
                    <w:rPr>
                      <w:rFonts w:ascii="Aptos" w:hAnsi="Aptos" w:cs="Arial"/>
                      <w:sz w:val="20"/>
                      <w:szCs w:val="20"/>
                    </w:rPr>
                  </w:pPr>
                  <w:r w:rsidRPr="00260823">
                    <w:rPr>
                      <w:rFonts w:ascii="Aptos" w:hAnsi="Aptos" w:cs="Arial"/>
                      <w:b/>
                      <w:bCs/>
                      <w:sz w:val="20"/>
                      <w:szCs w:val="20"/>
                    </w:rPr>
                    <w:t>4,2</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0912CED" w14:textId="56DCA5D9" w:rsidR="00DF4027" w:rsidRPr="00260823" w:rsidRDefault="00DF4027" w:rsidP="00915332">
                  <w:pPr>
                    <w:spacing w:after="0" w:line="240" w:lineRule="auto"/>
                    <w:jc w:val="center"/>
                    <w:rPr>
                      <w:rFonts w:ascii="Aptos" w:hAnsi="Aptos" w:cs="Arial"/>
                      <w:sz w:val="20"/>
                      <w:szCs w:val="20"/>
                    </w:rPr>
                  </w:pPr>
                  <w:r w:rsidRPr="00260823">
                    <w:rPr>
                      <w:rFonts w:ascii="Aptos" w:hAnsi="Aptos" w:cs="Arial"/>
                      <w:b/>
                      <w:bCs/>
                      <w:sz w:val="20"/>
                      <w:szCs w:val="20"/>
                    </w:rPr>
                    <w:t>4,2</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C754DBA" w14:textId="69D35C8E" w:rsidR="00DF4027" w:rsidRPr="00260823" w:rsidRDefault="00DF4027" w:rsidP="00915332">
                  <w:pPr>
                    <w:spacing w:after="0" w:line="240" w:lineRule="auto"/>
                    <w:jc w:val="center"/>
                    <w:rPr>
                      <w:rFonts w:ascii="Aptos" w:hAnsi="Aptos" w:cs="Arial"/>
                      <w:sz w:val="20"/>
                      <w:szCs w:val="20"/>
                    </w:rPr>
                  </w:pPr>
                  <w:r w:rsidRPr="00260823">
                    <w:rPr>
                      <w:rFonts w:ascii="Aptos" w:hAnsi="Aptos" w:cs="Arial"/>
                      <w:b/>
                      <w:bCs/>
                      <w:sz w:val="20"/>
                      <w:szCs w:val="20"/>
                    </w:rPr>
                    <w:t>3,9</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B3392F0" w14:textId="29E1F823" w:rsidR="00DF4027" w:rsidRPr="00260823" w:rsidRDefault="00DF4027" w:rsidP="00915332">
                  <w:pPr>
                    <w:spacing w:after="0" w:line="240" w:lineRule="auto"/>
                    <w:jc w:val="center"/>
                    <w:rPr>
                      <w:rFonts w:ascii="Aptos" w:hAnsi="Aptos" w:cs="Arial"/>
                      <w:b/>
                      <w:bCs/>
                      <w:sz w:val="20"/>
                      <w:szCs w:val="20"/>
                    </w:rPr>
                  </w:pPr>
                  <w:r w:rsidRPr="00260823">
                    <w:rPr>
                      <w:rFonts w:ascii="Aptos" w:hAnsi="Aptos" w:cs="Arial"/>
                      <w:b/>
                      <w:bCs/>
                      <w:sz w:val="20"/>
                      <w:szCs w:val="20"/>
                    </w:rPr>
                    <w:t>3,4</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498EE22" w14:textId="0BE623A8" w:rsidR="00DF4027" w:rsidRPr="00260823" w:rsidRDefault="00DF4027" w:rsidP="00915332">
                  <w:pPr>
                    <w:spacing w:after="0" w:line="240" w:lineRule="auto"/>
                    <w:jc w:val="center"/>
                    <w:rPr>
                      <w:rFonts w:ascii="Aptos" w:hAnsi="Aptos" w:cs="Arial"/>
                      <w:bCs/>
                      <w:sz w:val="20"/>
                      <w:szCs w:val="20"/>
                    </w:rPr>
                  </w:pPr>
                </w:p>
              </w:tc>
              <w:tc>
                <w:tcPr>
                  <w:tcW w:w="120" w:type="pct"/>
                  <w:tcBorders>
                    <w:top w:val="nil"/>
                    <w:left w:val="single" w:sz="4" w:space="0" w:color="BFBFBF" w:themeColor="background1" w:themeShade="BF"/>
                    <w:bottom w:val="nil"/>
                    <w:right w:val="single" w:sz="4" w:space="0" w:color="BFBFBF" w:themeColor="background1" w:themeShade="BF"/>
                  </w:tcBorders>
                  <w:vAlign w:val="center"/>
                </w:tcPr>
                <w:p w14:paraId="59F46C3C" w14:textId="77777777" w:rsidR="00DF4027" w:rsidRPr="00260823" w:rsidRDefault="00DF4027" w:rsidP="00915332">
                  <w:pPr>
                    <w:spacing w:after="0" w:line="240" w:lineRule="auto"/>
                    <w:jc w:val="center"/>
                    <w:rPr>
                      <w:rFonts w:ascii="Aptos" w:hAnsi="Aptos" w:cs="Arial"/>
                      <w:b/>
                      <w:bCs/>
                      <w:sz w:val="20"/>
                      <w:szCs w:val="20"/>
                    </w:rPr>
                  </w:pPr>
                </w:p>
              </w:tc>
              <w:tc>
                <w:tcPr>
                  <w:tcW w:w="8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E92A7E" w14:textId="66E54079" w:rsidR="00DF4027" w:rsidRPr="00260823" w:rsidRDefault="00DF4027" w:rsidP="00915332">
                  <w:pPr>
                    <w:spacing w:after="0" w:line="240" w:lineRule="auto"/>
                    <w:jc w:val="center"/>
                    <w:rPr>
                      <w:rFonts w:ascii="Aptos" w:hAnsi="Aptos" w:cs="Arial"/>
                      <w:sz w:val="20"/>
                      <w:szCs w:val="20"/>
                    </w:rPr>
                  </w:pPr>
                  <w:r w:rsidRPr="00260823">
                    <w:rPr>
                      <w:rFonts w:ascii="Aptos" w:hAnsi="Aptos" w:cs="Arial"/>
                      <w:sz w:val="20"/>
                      <w:szCs w:val="20"/>
                    </w:rPr>
                    <w:t>3,8</w:t>
                  </w:r>
                </w:p>
              </w:tc>
            </w:tr>
          </w:tbl>
          <w:p w14:paraId="67D57781" w14:textId="77777777" w:rsidR="007E4978" w:rsidRPr="00260823" w:rsidRDefault="007E4978" w:rsidP="007E4978">
            <w:pPr>
              <w:rPr>
                <w:rFonts w:ascii="Aptos" w:hAnsi="Aptos"/>
              </w:rPr>
            </w:pPr>
          </w:p>
          <w:p w14:paraId="5B783C6E" w14:textId="77777777" w:rsidR="00A56D47" w:rsidRDefault="00A56D47" w:rsidP="003C05D9">
            <w:pPr>
              <w:spacing w:line="240" w:lineRule="auto"/>
              <w:jc w:val="both"/>
              <w:rPr>
                <w:rFonts w:ascii="Aptos" w:hAnsi="Aptos" w:cs="Arial"/>
                <w:b/>
                <w:bCs/>
                <w:color w:val="0070C0"/>
              </w:rPr>
            </w:pPr>
          </w:p>
          <w:p w14:paraId="4ED6B53E" w14:textId="79FC2511" w:rsidR="00A56D47" w:rsidRPr="00A56D47" w:rsidRDefault="00A56D47" w:rsidP="00A56D47">
            <w:pPr>
              <w:spacing w:line="240" w:lineRule="auto"/>
              <w:jc w:val="both"/>
              <w:rPr>
                <w:rFonts w:ascii="Aptos" w:hAnsi="Aptos" w:cs="Arial"/>
                <w:b/>
                <w:bCs/>
                <w:color w:val="0070C0"/>
              </w:rPr>
            </w:pPr>
            <w:r w:rsidRPr="00360F0F">
              <w:rPr>
                <w:rFonts w:ascii="Aptos" w:hAnsi="Aptos" w:cs="Arial"/>
                <w:b/>
                <w:bCs/>
                <w:color w:val="0070C0"/>
              </w:rPr>
              <w:t>Les très petites entreprises en première ligne, les PME sous vigilance.</w:t>
            </w:r>
          </w:p>
          <w:p w14:paraId="3F2EF822" w14:textId="77777777" w:rsidR="00A56D47" w:rsidRPr="00260823" w:rsidRDefault="00A56D47" w:rsidP="003C05D9">
            <w:pPr>
              <w:spacing w:line="240" w:lineRule="auto"/>
              <w:jc w:val="both"/>
              <w:rPr>
                <w:rFonts w:ascii="Aptos" w:hAnsi="Aptos" w:cs="Arial"/>
                <w:b/>
                <w:bCs/>
                <w:color w:val="0070C0"/>
              </w:rPr>
            </w:pPr>
          </w:p>
          <w:p w14:paraId="6DE345B1" w14:textId="5179DB54" w:rsidR="00EA6BD9" w:rsidRDefault="005F01CE" w:rsidP="003C05D9">
            <w:pPr>
              <w:spacing w:line="240" w:lineRule="auto"/>
              <w:jc w:val="both"/>
              <w:rPr>
                <w:rFonts w:ascii="Aptos" w:hAnsi="Aptos" w:cs="Arial"/>
                <w:sz w:val="22"/>
                <w:szCs w:val="22"/>
              </w:rPr>
            </w:pPr>
            <w:r>
              <w:rPr>
                <w:rFonts w:ascii="Aptos" w:hAnsi="Aptos" w:cs="Arial"/>
                <w:sz w:val="22"/>
                <w:szCs w:val="22"/>
              </w:rPr>
              <w:t>L</w:t>
            </w:r>
            <w:r w:rsidR="00EA6BD9" w:rsidRPr="00260823">
              <w:rPr>
                <w:rFonts w:ascii="Aptos" w:hAnsi="Aptos" w:cs="Arial"/>
                <w:sz w:val="22"/>
                <w:szCs w:val="22"/>
              </w:rPr>
              <w:t xml:space="preserve">es structures de </w:t>
            </w:r>
            <w:r w:rsidR="00EA6BD9" w:rsidRPr="00260823">
              <w:rPr>
                <w:rFonts w:ascii="Aptos" w:hAnsi="Aptos" w:cs="Arial"/>
                <w:b/>
                <w:bCs/>
                <w:sz w:val="22"/>
                <w:szCs w:val="22"/>
              </w:rPr>
              <w:t>moins de trois salariés</w:t>
            </w:r>
            <w:r>
              <w:rPr>
                <w:rFonts w:ascii="Aptos" w:hAnsi="Aptos" w:cs="Arial"/>
                <w:sz w:val="22"/>
                <w:szCs w:val="22"/>
              </w:rPr>
              <w:t xml:space="preserve"> </w:t>
            </w:r>
            <w:r w:rsidR="00EA6BD9" w:rsidRPr="00260823">
              <w:rPr>
                <w:rFonts w:ascii="Aptos" w:hAnsi="Aptos" w:cs="Arial"/>
                <w:sz w:val="22"/>
                <w:szCs w:val="22"/>
              </w:rPr>
              <w:t>concentrent 75 % des procédures collectives</w:t>
            </w:r>
            <w:r>
              <w:rPr>
                <w:rFonts w:ascii="Aptos" w:hAnsi="Aptos" w:cs="Arial"/>
                <w:sz w:val="22"/>
                <w:szCs w:val="22"/>
              </w:rPr>
              <w:t xml:space="preserve"> et </w:t>
            </w:r>
            <w:r w:rsidR="00F90B42">
              <w:rPr>
                <w:rFonts w:ascii="Aptos" w:hAnsi="Aptos" w:cs="Arial"/>
                <w:sz w:val="22"/>
                <w:szCs w:val="22"/>
              </w:rPr>
              <w:t>donnent le La sur la tendance globale</w:t>
            </w:r>
            <w:r w:rsidR="00EA6BD9" w:rsidRPr="00260823">
              <w:rPr>
                <w:rFonts w:ascii="Aptos" w:hAnsi="Aptos" w:cs="Arial"/>
                <w:sz w:val="22"/>
                <w:szCs w:val="22"/>
              </w:rPr>
              <w:t xml:space="preserve">. </w:t>
            </w:r>
            <w:r w:rsidR="00C6303B">
              <w:rPr>
                <w:rFonts w:ascii="Aptos" w:hAnsi="Aptos" w:cs="Arial"/>
                <w:sz w:val="22"/>
                <w:szCs w:val="22"/>
              </w:rPr>
              <w:t xml:space="preserve">Sur cette catégorie, </w:t>
            </w:r>
            <w:r w:rsidR="00EA6BD9" w:rsidRPr="00260823">
              <w:rPr>
                <w:rFonts w:ascii="Aptos" w:hAnsi="Aptos" w:cs="Arial"/>
                <w:sz w:val="22"/>
                <w:szCs w:val="22"/>
              </w:rPr>
              <w:t xml:space="preserve">13 185 défaillances </w:t>
            </w:r>
            <w:r w:rsidR="00C6303B">
              <w:rPr>
                <w:rFonts w:ascii="Aptos" w:hAnsi="Aptos" w:cs="Arial"/>
                <w:sz w:val="22"/>
                <w:szCs w:val="22"/>
              </w:rPr>
              <w:t xml:space="preserve">ont été </w:t>
            </w:r>
            <w:r w:rsidR="00EA6BD9" w:rsidRPr="00260823">
              <w:rPr>
                <w:rFonts w:ascii="Aptos" w:hAnsi="Aptos" w:cs="Arial"/>
                <w:sz w:val="22"/>
                <w:szCs w:val="22"/>
              </w:rPr>
              <w:t>recensées,</w:t>
            </w:r>
            <w:r w:rsidR="00C6303B">
              <w:rPr>
                <w:rFonts w:ascii="Aptos" w:hAnsi="Aptos" w:cs="Arial"/>
                <w:sz w:val="22"/>
                <w:szCs w:val="22"/>
              </w:rPr>
              <w:t xml:space="preserve"> en hausse </w:t>
            </w:r>
            <w:r w:rsidR="00EA6BD9" w:rsidRPr="00260823">
              <w:rPr>
                <w:rFonts w:ascii="Aptos" w:hAnsi="Aptos" w:cs="Arial"/>
                <w:sz w:val="22"/>
                <w:szCs w:val="22"/>
              </w:rPr>
              <w:t>de 8,3 % sur un an</w:t>
            </w:r>
            <w:r w:rsidR="00C6303B">
              <w:rPr>
                <w:rFonts w:ascii="Aptos" w:hAnsi="Aptos" w:cs="Arial"/>
                <w:sz w:val="22"/>
                <w:szCs w:val="22"/>
              </w:rPr>
              <w:t xml:space="preserve">. Un phénomène qui </w:t>
            </w:r>
            <w:r w:rsidR="00EA6BD9" w:rsidRPr="00260823">
              <w:rPr>
                <w:rFonts w:ascii="Aptos" w:hAnsi="Aptos" w:cs="Arial"/>
                <w:sz w:val="22"/>
                <w:szCs w:val="22"/>
              </w:rPr>
              <w:t>illustr</w:t>
            </w:r>
            <w:r w:rsidR="00C6303B">
              <w:rPr>
                <w:rFonts w:ascii="Aptos" w:hAnsi="Aptos" w:cs="Arial"/>
                <w:sz w:val="22"/>
                <w:szCs w:val="22"/>
              </w:rPr>
              <w:t>e</w:t>
            </w:r>
            <w:r w:rsidR="00EA6BD9" w:rsidRPr="00260823">
              <w:rPr>
                <w:rFonts w:ascii="Aptos" w:hAnsi="Aptos" w:cs="Arial"/>
                <w:sz w:val="22"/>
                <w:szCs w:val="22"/>
              </w:rPr>
              <w:t xml:space="preserve"> la persistance des tensions de trésorerie qui affectent les plus petites entreprises.</w:t>
            </w:r>
          </w:p>
          <w:p w14:paraId="6ED6C446" w14:textId="77777777" w:rsidR="001A4A99" w:rsidRPr="00260823" w:rsidRDefault="001A4A99" w:rsidP="003C05D9">
            <w:pPr>
              <w:spacing w:line="240" w:lineRule="auto"/>
              <w:jc w:val="both"/>
              <w:rPr>
                <w:rFonts w:ascii="Aptos" w:hAnsi="Aptos" w:cs="Arial"/>
                <w:sz w:val="22"/>
                <w:szCs w:val="22"/>
              </w:rPr>
            </w:pPr>
          </w:p>
          <w:p w14:paraId="7B34BE01" w14:textId="081FE5D3" w:rsidR="00F31412" w:rsidRDefault="00EA6BD9" w:rsidP="003C05D9">
            <w:pPr>
              <w:spacing w:line="240" w:lineRule="auto"/>
              <w:jc w:val="both"/>
              <w:rPr>
                <w:rFonts w:ascii="Aptos" w:hAnsi="Aptos" w:cs="Arial"/>
                <w:sz w:val="22"/>
                <w:szCs w:val="22"/>
              </w:rPr>
            </w:pPr>
            <w:r w:rsidRPr="00260823">
              <w:rPr>
                <w:rFonts w:ascii="Aptos" w:hAnsi="Aptos" w:cs="Arial"/>
                <w:sz w:val="22"/>
                <w:szCs w:val="22"/>
              </w:rPr>
              <w:t xml:space="preserve">À l'inverse, les entreprises de </w:t>
            </w:r>
            <w:r w:rsidRPr="00260823">
              <w:rPr>
                <w:rFonts w:ascii="Aptos" w:hAnsi="Aptos" w:cs="Arial"/>
                <w:b/>
                <w:bCs/>
                <w:sz w:val="22"/>
                <w:szCs w:val="22"/>
              </w:rPr>
              <w:t>3 à 19 salariés</w:t>
            </w:r>
            <w:r w:rsidRPr="00260823">
              <w:rPr>
                <w:rFonts w:ascii="Aptos" w:hAnsi="Aptos" w:cs="Arial"/>
                <w:sz w:val="22"/>
                <w:szCs w:val="22"/>
              </w:rPr>
              <w:t xml:space="preserve"> affichent une amélioration relative. Elles t</w:t>
            </w:r>
            <w:r w:rsidR="00F31412" w:rsidRPr="00260823">
              <w:rPr>
                <w:rFonts w:ascii="Aptos" w:hAnsi="Aptos" w:cs="Arial"/>
                <w:sz w:val="22"/>
                <w:szCs w:val="22"/>
              </w:rPr>
              <w:t xml:space="preserve">otalisent 3 769 défaillances au T2 2026, contre 3 896 au T2 2025, </w:t>
            </w:r>
            <w:r w:rsidR="001A4A99">
              <w:rPr>
                <w:rFonts w:ascii="Aptos" w:hAnsi="Aptos" w:cs="Arial"/>
                <w:sz w:val="22"/>
                <w:szCs w:val="22"/>
              </w:rPr>
              <w:t>en</w:t>
            </w:r>
            <w:r w:rsidR="00F31412" w:rsidRPr="00260823">
              <w:rPr>
                <w:rFonts w:ascii="Aptos" w:hAnsi="Aptos" w:cs="Arial"/>
                <w:sz w:val="22"/>
                <w:szCs w:val="22"/>
              </w:rPr>
              <w:t xml:space="preserve"> recul de 3,3 %. Cette tranche, qui représente encore 21,6</w:t>
            </w:r>
            <w:r w:rsidR="001A4A99">
              <w:rPr>
                <w:rFonts w:ascii="Aptos" w:hAnsi="Aptos" w:cs="Arial"/>
                <w:sz w:val="22"/>
                <w:szCs w:val="22"/>
              </w:rPr>
              <w:t> </w:t>
            </w:r>
            <w:r w:rsidR="00F31412" w:rsidRPr="00260823">
              <w:rPr>
                <w:rFonts w:ascii="Aptos" w:hAnsi="Aptos" w:cs="Arial"/>
                <w:sz w:val="22"/>
                <w:szCs w:val="22"/>
              </w:rPr>
              <w:t>% des procédures, contribue</w:t>
            </w:r>
            <w:r w:rsidR="0070003A" w:rsidRPr="00260823">
              <w:rPr>
                <w:rFonts w:ascii="Aptos" w:hAnsi="Aptos" w:cs="Arial"/>
                <w:sz w:val="22"/>
                <w:szCs w:val="22"/>
              </w:rPr>
              <w:t xml:space="preserve"> à amortir </w:t>
            </w:r>
            <w:r w:rsidR="00F31412" w:rsidRPr="00260823">
              <w:rPr>
                <w:rFonts w:ascii="Aptos" w:hAnsi="Aptos" w:cs="Arial"/>
                <w:sz w:val="22"/>
                <w:szCs w:val="22"/>
              </w:rPr>
              <w:t xml:space="preserve">la </w:t>
            </w:r>
            <w:r w:rsidR="0070003A" w:rsidRPr="00260823">
              <w:rPr>
                <w:rFonts w:ascii="Aptos" w:hAnsi="Aptos" w:cs="Arial"/>
                <w:sz w:val="22"/>
                <w:szCs w:val="22"/>
              </w:rPr>
              <w:t>dégradation</w:t>
            </w:r>
            <w:r w:rsidR="00F31412" w:rsidRPr="00260823">
              <w:rPr>
                <w:rFonts w:ascii="Aptos" w:hAnsi="Aptos" w:cs="Arial"/>
                <w:sz w:val="22"/>
                <w:szCs w:val="22"/>
              </w:rPr>
              <w:t xml:space="preserve"> globale du trimestre.</w:t>
            </w:r>
          </w:p>
          <w:p w14:paraId="3F3F14CE" w14:textId="77777777" w:rsidR="001A4A99" w:rsidRPr="00260823" w:rsidRDefault="001A4A99" w:rsidP="003C05D9">
            <w:pPr>
              <w:spacing w:line="240" w:lineRule="auto"/>
              <w:jc w:val="both"/>
              <w:rPr>
                <w:rFonts w:ascii="Aptos" w:hAnsi="Aptos" w:cs="Arial"/>
                <w:sz w:val="22"/>
                <w:szCs w:val="22"/>
              </w:rPr>
            </w:pPr>
          </w:p>
          <w:p w14:paraId="3BCBFB33" w14:textId="01059B5B" w:rsidR="00F31412" w:rsidRPr="00260823" w:rsidRDefault="00F31412" w:rsidP="003C05D9">
            <w:pPr>
              <w:spacing w:line="240" w:lineRule="auto"/>
              <w:jc w:val="both"/>
              <w:rPr>
                <w:rFonts w:ascii="Aptos" w:hAnsi="Aptos" w:cs="Arial"/>
                <w:sz w:val="22"/>
                <w:szCs w:val="22"/>
              </w:rPr>
            </w:pPr>
            <w:r w:rsidRPr="00260823">
              <w:rPr>
                <w:rFonts w:ascii="Aptos" w:hAnsi="Aptos" w:cs="Arial"/>
                <w:sz w:val="22"/>
                <w:szCs w:val="22"/>
              </w:rPr>
              <w:t xml:space="preserve">Les </w:t>
            </w:r>
            <w:r w:rsidRPr="00260823">
              <w:rPr>
                <w:rFonts w:ascii="Aptos" w:hAnsi="Aptos" w:cs="Arial"/>
                <w:b/>
                <w:bCs/>
                <w:sz w:val="22"/>
                <w:szCs w:val="22"/>
              </w:rPr>
              <w:t>structures d</w:t>
            </w:r>
            <w:r w:rsidR="00EA6BD9" w:rsidRPr="00260823">
              <w:rPr>
                <w:rFonts w:ascii="Aptos" w:hAnsi="Aptos" w:cs="Arial"/>
                <w:b/>
                <w:bCs/>
                <w:sz w:val="22"/>
                <w:szCs w:val="22"/>
              </w:rPr>
              <w:t>’au moins</w:t>
            </w:r>
            <w:r w:rsidRPr="00260823">
              <w:rPr>
                <w:rFonts w:ascii="Aptos" w:hAnsi="Aptos" w:cs="Arial"/>
                <w:b/>
                <w:bCs/>
                <w:sz w:val="22"/>
                <w:szCs w:val="22"/>
              </w:rPr>
              <w:t xml:space="preserve"> 20 salariés</w:t>
            </w:r>
            <w:r w:rsidRPr="00260823">
              <w:rPr>
                <w:rFonts w:ascii="Aptos" w:hAnsi="Aptos" w:cs="Arial"/>
                <w:sz w:val="22"/>
                <w:szCs w:val="22"/>
              </w:rPr>
              <w:t xml:space="preserve"> restent minoritaires en nombre </w:t>
            </w:r>
            <w:r w:rsidR="0004718A" w:rsidRPr="00260823">
              <w:rPr>
                <w:rFonts w:ascii="Aptos" w:hAnsi="Aptos" w:cs="Arial"/>
                <w:sz w:val="22"/>
                <w:szCs w:val="22"/>
              </w:rPr>
              <w:t>mais l</w:t>
            </w:r>
            <w:r w:rsidRPr="00260823">
              <w:rPr>
                <w:rFonts w:ascii="Aptos" w:hAnsi="Aptos" w:cs="Arial"/>
                <w:sz w:val="22"/>
                <w:szCs w:val="22"/>
              </w:rPr>
              <w:t xml:space="preserve">eur évolution est à surveiller : </w:t>
            </w:r>
            <w:r w:rsidR="0004718A" w:rsidRPr="00260823">
              <w:rPr>
                <w:rFonts w:ascii="Aptos" w:hAnsi="Aptos" w:cs="Arial"/>
                <w:sz w:val="22"/>
                <w:szCs w:val="22"/>
              </w:rPr>
              <w:t>532 procédures ont été enregistrées</w:t>
            </w:r>
            <w:r w:rsidRPr="00260823">
              <w:rPr>
                <w:rFonts w:ascii="Aptos" w:hAnsi="Aptos" w:cs="Arial"/>
                <w:sz w:val="22"/>
                <w:szCs w:val="22"/>
              </w:rPr>
              <w:t xml:space="preserve"> </w:t>
            </w:r>
            <w:r w:rsidR="0004718A" w:rsidRPr="00260823">
              <w:rPr>
                <w:rFonts w:ascii="Aptos" w:hAnsi="Aptos" w:cs="Arial"/>
                <w:sz w:val="22"/>
                <w:szCs w:val="22"/>
              </w:rPr>
              <w:t>soit</w:t>
            </w:r>
            <w:r w:rsidRPr="00260823">
              <w:rPr>
                <w:rFonts w:ascii="Aptos" w:hAnsi="Aptos" w:cs="Arial"/>
                <w:sz w:val="22"/>
                <w:szCs w:val="22"/>
              </w:rPr>
              <w:t xml:space="preserve"> +2,9 % sur un an, </w:t>
            </w:r>
            <w:r w:rsidR="0004718A" w:rsidRPr="00260823">
              <w:rPr>
                <w:rFonts w:ascii="Aptos" w:hAnsi="Aptos" w:cs="Arial"/>
                <w:sz w:val="22"/>
                <w:szCs w:val="22"/>
              </w:rPr>
              <w:t xml:space="preserve">un volume </w:t>
            </w:r>
            <w:r w:rsidRPr="00260823">
              <w:rPr>
                <w:rFonts w:ascii="Aptos" w:hAnsi="Aptos" w:cs="Arial"/>
                <w:sz w:val="22"/>
                <w:szCs w:val="22"/>
              </w:rPr>
              <w:t>tiré par les sauvegardes (51 procédures, +27,5 %) et les redressements judiciaires (352, +6,7 %), tandis que les liquidations judiciaires directes reculent à 129 jugements (-12,2 %).</w:t>
            </w:r>
            <w:r w:rsidR="00EA48B2">
              <w:rPr>
                <w:rFonts w:ascii="Aptos" w:hAnsi="Aptos" w:cs="Arial"/>
                <w:sz w:val="22"/>
                <w:szCs w:val="22"/>
              </w:rPr>
              <w:t xml:space="preserve"> </w:t>
            </w:r>
            <w:r w:rsidR="00852F18">
              <w:rPr>
                <w:rFonts w:ascii="Aptos" w:hAnsi="Aptos" w:cs="Arial"/>
                <w:sz w:val="22"/>
                <w:szCs w:val="22"/>
              </w:rPr>
              <w:t xml:space="preserve">Il faut y voir une lueur positive : car </w:t>
            </w:r>
            <w:r w:rsidR="0055003B">
              <w:rPr>
                <w:rFonts w:ascii="Aptos" w:hAnsi="Aptos" w:cs="Arial"/>
                <w:sz w:val="22"/>
                <w:szCs w:val="22"/>
              </w:rPr>
              <w:t xml:space="preserve">si les tensions économiques pèsent sur les entreprises, le recul des liquidations </w:t>
            </w:r>
            <w:r w:rsidR="00852F18">
              <w:rPr>
                <w:rFonts w:ascii="Aptos" w:hAnsi="Aptos" w:cs="Arial"/>
                <w:sz w:val="22"/>
                <w:szCs w:val="22"/>
              </w:rPr>
              <w:t xml:space="preserve">directes </w:t>
            </w:r>
            <w:r w:rsidR="0055003B">
              <w:rPr>
                <w:rFonts w:ascii="Aptos" w:hAnsi="Aptos" w:cs="Arial"/>
                <w:sz w:val="22"/>
                <w:szCs w:val="22"/>
              </w:rPr>
              <w:t xml:space="preserve">laisse entrevoir </w:t>
            </w:r>
            <w:r w:rsidR="00F433EF">
              <w:rPr>
                <w:rFonts w:ascii="Aptos" w:hAnsi="Aptos" w:cs="Arial"/>
                <w:sz w:val="22"/>
                <w:szCs w:val="22"/>
              </w:rPr>
              <w:t>un</w:t>
            </w:r>
            <w:r w:rsidR="00852F18">
              <w:rPr>
                <w:rFonts w:ascii="Aptos" w:hAnsi="Aptos" w:cs="Arial"/>
                <w:sz w:val="22"/>
                <w:szCs w:val="22"/>
              </w:rPr>
              <w:t>e reprise ou une poursuite d’activité.</w:t>
            </w:r>
            <w:r w:rsidRPr="00260823">
              <w:rPr>
                <w:rFonts w:ascii="Aptos" w:hAnsi="Aptos" w:cs="Arial"/>
                <w:sz w:val="22"/>
                <w:szCs w:val="22"/>
              </w:rPr>
              <w:t xml:space="preserve"> </w:t>
            </w:r>
          </w:p>
          <w:p w14:paraId="4E9D7EA4" w14:textId="77777777" w:rsidR="00C804C2" w:rsidRPr="00260823" w:rsidRDefault="00C804C2" w:rsidP="003C05D9">
            <w:pPr>
              <w:spacing w:line="240" w:lineRule="auto"/>
              <w:jc w:val="both"/>
              <w:rPr>
                <w:rFonts w:ascii="Aptos" w:hAnsi="Aptos" w:cs="Arial"/>
                <w:sz w:val="22"/>
                <w:szCs w:val="22"/>
              </w:rPr>
            </w:pPr>
          </w:p>
          <w:p w14:paraId="7265044D" w14:textId="27087E59" w:rsidR="00965A25" w:rsidRPr="00260823" w:rsidRDefault="0076123A" w:rsidP="0054297B">
            <w:pPr>
              <w:spacing w:line="240" w:lineRule="auto"/>
              <w:jc w:val="both"/>
              <w:rPr>
                <w:rFonts w:ascii="Aptos" w:hAnsi="Aptos" w:cs="Arial"/>
                <w:b/>
                <w:bCs/>
                <w:color w:val="0070C0"/>
              </w:rPr>
            </w:pPr>
            <w:r w:rsidRPr="00260823">
              <w:rPr>
                <w:rFonts w:ascii="Aptos" w:hAnsi="Aptos" w:cs="Arial"/>
                <w:b/>
                <w:bCs/>
                <w:color w:val="0070C0"/>
              </w:rPr>
              <w:t xml:space="preserve">Les jeunes entreprises </w:t>
            </w:r>
            <w:r w:rsidR="00294B95">
              <w:rPr>
                <w:rFonts w:ascii="Aptos" w:hAnsi="Aptos" w:cs="Arial"/>
                <w:b/>
                <w:bCs/>
                <w:color w:val="0070C0"/>
              </w:rPr>
              <w:t>sont</w:t>
            </w:r>
            <w:r w:rsidRPr="00260823">
              <w:rPr>
                <w:rFonts w:ascii="Aptos" w:hAnsi="Aptos" w:cs="Arial"/>
                <w:b/>
                <w:bCs/>
                <w:color w:val="0070C0"/>
              </w:rPr>
              <w:t xml:space="preserve"> fortement exposées</w:t>
            </w:r>
          </w:p>
          <w:p w14:paraId="3EEA4F26" w14:textId="77777777" w:rsidR="0076123A" w:rsidRPr="00260823" w:rsidRDefault="0076123A" w:rsidP="0054297B">
            <w:pPr>
              <w:spacing w:line="240" w:lineRule="auto"/>
              <w:jc w:val="both"/>
              <w:rPr>
                <w:rFonts w:ascii="Aptos" w:hAnsi="Aptos" w:cs="Arial"/>
                <w:b/>
                <w:bCs/>
                <w:color w:val="0070C0"/>
              </w:rPr>
            </w:pPr>
          </w:p>
          <w:p w14:paraId="034DE2F2" w14:textId="249C648B" w:rsidR="0076123A" w:rsidRDefault="0076123A" w:rsidP="0054297B">
            <w:pPr>
              <w:spacing w:line="240" w:lineRule="auto"/>
              <w:jc w:val="both"/>
              <w:rPr>
                <w:rFonts w:ascii="Aptos" w:hAnsi="Aptos" w:cs="Arial"/>
                <w:b/>
                <w:bCs/>
                <w:sz w:val="22"/>
                <w:szCs w:val="22"/>
              </w:rPr>
            </w:pPr>
            <w:r w:rsidRPr="00260823">
              <w:rPr>
                <w:rFonts w:ascii="Aptos" w:hAnsi="Aptos" w:cs="Arial"/>
                <w:sz w:val="22"/>
                <w:szCs w:val="22"/>
              </w:rPr>
              <w:t>La vulnérabilité des</w:t>
            </w:r>
            <w:r w:rsidR="00C15288">
              <w:rPr>
                <w:rFonts w:ascii="Aptos" w:hAnsi="Aptos" w:cs="Arial"/>
                <w:sz w:val="22"/>
                <w:szCs w:val="22"/>
              </w:rPr>
              <w:t xml:space="preserve"> plus jeunes</w:t>
            </w:r>
            <w:r w:rsidRPr="00260823">
              <w:rPr>
                <w:rFonts w:ascii="Aptos" w:hAnsi="Aptos" w:cs="Arial"/>
                <w:sz w:val="22"/>
                <w:szCs w:val="22"/>
              </w:rPr>
              <w:t xml:space="preserve"> entreprises </w:t>
            </w:r>
            <w:r w:rsidR="00C15288">
              <w:rPr>
                <w:rFonts w:ascii="Aptos" w:hAnsi="Aptos" w:cs="Arial"/>
                <w:sz w:val="22"/>
                <w:szCs w:val="22"/>
              </w:rPr>
              <w:t xml:space="preserve">est </w:t>
            </w:r>
            <w:r w:rsidRPr="00260823">
              <w:rPr>
                <w:rFonts w:ascii="Aptos" w:hAnsi="Aptos" w:cs="Arial"/>
                <w:sz w:val="22"/>
                <w:szCs w:val="22"/>
              </w:rPr>
              <w:t xml:space="preserve">particulièrement marquée. Les défaillances des structures de </w:t>
            </w:r>
            <w:r w:rsidRPr="00260823">
              <w:rPr>
                <w:rFonts w:ascii="Aptos" w:hAnsi="Aptos" w:cs="Arial"/>
                <w:b/>
                <w:bCs/>
                <w:sz w:val="22"/>
                <w:szCs w:val="22"/>
              </w:rPr>
              <w:t>moins de trois ans</w:t>
            </w:r>
            <w:r w:rsidRPr="00260823">
              <w:rPr>
                <w:rFonts w:ascii="Aptos" w:hAnsi="Aptos" w:cs="Arial"/>
                <w:sz w:val="22"/>
                <w:szCs w:val="22"/>
              </w:rPr>
              <w:t xml:space="preserve"> progressent de 12,7 % sur un an pour atteindre 2 248 procédures. </w:t>
            </w:r>
            <w:r w:rsidRPr="00101811">
              <w:rPr>
                <w:rFonts w:ascii="Aptos" w:hAnsi="Aptos" w:cs="Arial"/>
                <w:b/>
                <w:bCs/>
                <w:sz w:val="22"/>
                <w:szCs w:val="22"/>
              </w:rPr>
              <w:t>Plus des trois quarts se soldent par une liquidation judiciaire directe.</w:t>
            </w:r>
          </w:p>
          <w:p w14:paraId="41B5295F" w14:textId="77777777" w:rsidR="00101811" w:rsidRPr="00260823" w:rsidRDefault="00101811" w:rsidP="0054297B">
            <w:pPr>
              <w:spacing w:line="240" w:lineRule="auto"/>
              <w:jc w:val="both"/>
              <w:rPr>
                <w:rFonts w:ascii="Aptos" w:hAnsi="Aptos" w:cs="Arial"/>
                <w:sz w:val="22"/>
                <w:szCs w:val="22"/>
              </w:rPr>
            </w:pPr>
          </w:p>
          <w:p w14:paraId="33A3F7E1" w14:textId="3DBF81A9" w:rsidR="0076123A" w:rsidRDefault="00BE487C" w:rsidP="0054297B">
            <w:pPr>
              <w:spacing w:line="240" w:lineRule="auto"/>
              <w:jc w:val="both"/>
              <w:rPr>
                <w:rFonts w:ascii="Aptos" w:hAnsi="Aptos" w:cs="Arial"/>
                <w:sz w:val="22"/>
                <w:szCs w:val="22"/>
              </w:rPr>
            </w:pPr>
            <w:r w:rsidRPr="00260823">
              <w:rPr>
                <w:rFonts w:ascii="Aptos" w:hAnsi="Aptos" w:cs="Arial"/>
                <w:sz w:val="22"/>
                <w:szCs w:val="22"/>
              </w:rPr>
              <w:t xml:space="preserve">L’essentiel </w:t>
            </w:r>
            <w:r w:rsidR="008B3347" w:rsidRPr="00260823">
              <w:rPr>
                <w:rFonts w:ascii="Aptos" w:hAnsi="Aptos" w:cs="Arial"/>
                <w:sz w:val="22"/>
                <w:szCs w:val="22"/>
              </w:rPr>
              <w:t xml:space="preserve">(93%) </w:t>
            </w:r>
            <w:r w:rsidRPr="00260823">
              <w:rPr>
                <w:rFonts w:ascii="Aptos" w:hAnsi="Aptos" w:cs="Arial"/>
                <w:sz w:val="22"/>
                <w:szCs w:val="22"/>
              </w:rPr>
              <w:t>de ces jeunes entreprises ne sont pas des micro-entreprises (ou auto-entrepreneur</w:t>
            </w:r>
            <w:r w:rsidR="00360F0F">
              <w:rPr>
                <w:rFonts w:ascii="Aptos" w:hAnsi="Aptos" w:cs="Arial"/>
                <w:sz w:val="22"/>
                <w:szCs w:val="22"/>
              </w:rPr>
              <w:t>s</w:t>
            </w:r>
            <w:r w:rsidRPr="00260823">
              <w:rPr>
                <w:rFonts w:ascii="Aptos" w:hAnsi="Aptos" w:cs="Arial"/>
                <w:sz w:val="22"/>
                <w:szCs w:val="22"/>
              </w:rPr>
              <w:t>) </w:t>
            </w:r>
            <w:r w:rsidR="008B3347" w:rsidRPr="00260823">
              <w:rPr>
                <w:rFonts w:ascii="Aptos" w:hAnsi="Aptos" w:cs="Arial"/>
                <w:sz w:val="22"/>
                <w:szCs w:val="22"/>
              </w:rPr>
              <w:t>mais</w:t>
            </w:r>
            <w:r w:rsidR="008B4706">
              <w:rPr>
                <w:rFonts w:ascii="Aptos" w:hAnsi="Aptos" w:cs="Arial"/>
                <w:sz w:val="22"/>
                <w:szCs w:val="22"/>
              </w:rPr>
              <w:t xml:space="preserve"> </w:t>
            </w:r>
            <w:r w:rsidR="008B3347" w:rsidRPr="00260823">
              <w:rPr>
                <w:rFonts w:ascii="Aptos" w:hAnsi="Aptos" w:cs="Arial"/>
                <w:sz w:val="22"/>
                <w:szCs w:val="22"/>
              </w:rPr>
              <w:t>des sociétés commerciales</w:t>
            </w:r>
            <w:r w:rsidR="008B4706">
              <w:rPr>
                <w:rFonts w:ascii="Aptos" w:hAnsi="Aptos" w:cs="Arial"/>
                <w:sz w:val="22"/>
                <w:szCs w:val="22"/>
              </w:rPr>
              <w:t xml:space="preserve">. </w:t>
            </w:r>
            <w:r w:rsidR="0076123A" w:rsidRPr="00260823">
              <w:rPr>
                <w:rFonts w:ascii="Aptos" w:hAnsi="Aptos" w:cs="Arial"/>
                <w:sz w:val="22"/>
                <w:szCs w:val="22"/>
              </w:rPr>
              <w:t>La restauration</w:t>
            </w:r>
            <w:r w:rsidR="008F1BD1">
              <w:rPr>
                <w:rFonts w:ascii="Aptos" w:hAnsi="Aptos" w:cs="Arial"/>
                <w:sz w:val="22"/>
                <w:szCs w:val="22"/>
              </w:rPr>
              <w:t xml:space="preserve">, la vente et la réparation automobile y sont fortement représentées. </w:t>
            </w:r>
            <w:r w:rsidR="0076123A" w:rsidRPr="00260823">
              <w:rPr>
                <w:rFonts w:ascii="Aptos" w:hAnsi="Aptos" w:cs="Arial"/>
                <w:sz w:val="22"/>
                <w:szCs w:val="22"/>
              </w:rPr>
              <w:t xml:space="preserve"> Le second œuvre du bâtiment </w:t>
            </w:r>
            <w:r w:rsidR="008F1BD1">
              <w:rPr>
                <w:rFonts w:ascii="Aptos" w:hAnsi="Aptos" w:cs="Arial"/>
                <w:sz w:val="22"/>
                <w:szCs w:val="22"/>
              </w:rPr>
              <w:t xml:space="preserve">est aussi très présent, mais les </w:t>
            </w:r>
            <w:r w:rsidR="0076123A" w:rsidRPr="00260823">
              <w:rPr>
                <w:rFonts w:ascii="Aptos" w:hAnsi="Aptos" w:cs="Arial"/>
                <w:sz w:val="22"/>
                <w:szCs w:val="22"/>
              </w:rPr>
              <w:t>défaillances y diminuent sensiblement.</w:t>
            </w:r>
          </w:p>
          <w:p w14:paraId="2896EB6D" w14:textId="77777777" w:rsidR="0086792D" w:rsidRPr="00260823" w:rsidRDefault="0086792D" w:rsidP="0054297B">
            <w:pPr>
              <w:spacing w:line="240" w:lineRule="auto"/>
              <w:jc w:val="both"/>
              <w:rPr>
                <w:rFonts w:ascii="Aptos" w:hAnsi="Aptos" w:cs="Arial"/>
                <w:sz w:val="22"/>
                <w:szCs w:val="22"/>
              </w:rPr>
            </w:pPr>
          </w:p>
          <w:p w14:paraId="0623873E" w14:textId="1589A276" w:rsidR="009D06C5" w:rsidRDefault="009D06C5" w:rsidP="0054297B">
            <w:pPr>
              <w:spacing w:line="240" w:lineRule="auto"/>
              <w:jc w:val="both"/>
              <w:rPr>
                <w:rFonts w:ascii="Aptos" w:hAnsi="Aptos" w:cs="Arial"/>
                <w:sz w:val="22"/>
                <w:szCs w:val="22"/>
              </w:rPr>
            </w:pPr>
            <w:r w:rsidRPr="00260823">
              <w:rPr>
                <w:rFonts w:ascii="Aptos" w:hAnsi="Aptos" w:cs="Arial"/>
                <w:sz w:val="22"/>
                <w:szCs w:val="22"/>
              </w:rPr>
              <w:t xml:space="preserve">Les entreprises de </w:t>
            </w:r>
            <w:r w:rsidRPr="00260823">
              <w:rPr>
                <w:rFonts w:ascii="Aptos" w:hAnsi="Aptos" w:cs="Arial"/>
                <w:b/>
                <w:bCs/>
                <w:sz w:val="22"/>
                <w:szCs w:val="22"/>
              </w:rPr>
              <w:t>3 à 5 ans</w:t>
            </w:r>
            <w:r w:rsidRPr="00260823">
              <w:rPr>
                <w:rFonts w:ascii="Aptos" w:hAnsi="Aptos" w:cs="Arial"/>
                <w:sz w:val="22"/>
                <w:szCs w:val="22"/>
              </w:rPr>
              <w:t xml:space="preserve"> demeurent les plus nombreuses à défaillir. Avec 4 913 procédures recensées au T2 2026</w:t>
            </w:r>
            <w:r w:rsidR="0086792D">
              <w:rPr>
                <w:rFonts w:ascii="Aptos" w:hAnsi="Aptos" w:cs="Arial"/>
                <w:sz w:val="22"/>
                <w:szCs w:val="22"/>
              </w:rPr>
              <w:t>, l</w:t>
            </w:r>
            <w:r w:rsidRPr="00260823">
              <w:rPr>
                <w:rFonts w:ascii="Aptos" w:hAnsi="Aptos" w:cs="Arial"/>
                <w:sz w:val="22"/>
                <w:szCs w:val="22"/>
              </w:rPr>
              <w:t>a hausse (+5,1 %)</w:t>
            </w:r>
            <w:r w:rsidR="00360F0F">
              <w:rPr>
                <w:rFonts w:ascii="Aptos" w:hAnsi="Aptos" w:cs="Arial"/>
                <w:sz w:val="22"/>
                <w:szCs w:val="22"/>
              </w:rPr>
              <w:t xml:space="preserve"> est</w:t>
            </w:r>
            <w:r w:rsidRPr="00260823">
              <w:rPr>
                <w:rFonts w:ascii="Aptos" w:hAnsi="Aptos" w:cs="Arial"/>
                <w:sz w:val="22"/>
                <w:szCs w:val="22"/>
              </w:rPr>
              <w:t xml:space="preserve"> </w:t>
            </w:r>
            <w:r w:rsidR="0086792D">
              <w:rPr>
                <w:rFonts w:ascii="Aptos" w:hAnsi="Aptos" w:cs="Arial"/>
                <w:sz w:val="22"/>
                <w:szCs w:val="22"/>
              </w:rPr>
              <w:t>alignée</w:t>
            </w:r>
            <w:r w:rsidRPr="00260823">
              <w:rPr>
                <w:rFonts w:ascii="Aptos" w:hAnsi="Aptos" w:cs="Arial"/>
                <w:sz w:val="22"/>
                <w:szCs w:val="22"/>
              </w:rPr>
              <w:t xml:space="preserve"> avec la tendance globale (+5,4%).</w:t>
            </w:r>
          </w:p>
          <w:p w14:paraId="2FE50C07" w14:textId="77777777" w:rsidR="0086792D" w:rsidRPr="00260823" w:rsidRDefault="0086792D" w:rsidP="0054297B">
            <w:pPr>
              <w:spacing w:line="240" w:lineRule="auto"/>
              <w:jc w:val="both"/>
              <w:rPr>
                <w:rFonts w:ascii="Aptos" w:hAnsi="Aptos" w:cs="Arial"/>
                <w:sz w:val="22"/>
                <w:szCs w:val="22"/>
              </w:rPr>
            </w:pPr>
          </w:p>
          <w:p w14:paraId="0995FB4A" w14:textId="6E471EE1" w:rsidR="008B3347" w:rsidRPr="00260823" w:rsidRDefault="009D06C5" w:rsidP="0054297B">
            <w:pPr>
              <w:spacing w:line="240" w:lineRule="auto"/>
              <w:jc w:val="both"/>
              <w:rPr>
                <w:rFonts w:ascii="Aptos" w:hAnsi="Aptos" w:cs="Arial"/>
                <w:sz w:val="22"/>
                <w:szCs w:val="22"/>
              </w:rPr>
            </w:pPr>
            <w:r w:rsidRPr="00260823">
              <w:rPr>
                <w:rFonts w:ascii="Aptos" w:hAnsi="Aptos" w:cs="Arial"/>
                <w:sz w:val="22"/>
                <w:szCs w:val="22"/>
              </w:rPr>
              <w:t xml:space="preserve">Les </w:t>
            </w:r>
            <w:r w:rsidRPr="00260823">
              <w:rPr>
                <w:rFonts w:ascii="Aptos" w:hAnsi="Aptos" w:cs="Arial"/>
                <w:b/>
                <w:bCs/>
                <w:sz w:val="22"/>
                <w:szCs w:val="22"/>
              </w:rPr>
              <w:t>entreprises de 6 à 10 ans</w:t>
            </w:r>
            <w:r w:rsidRPr="00260823">
              <w:rPr>
                <w:rFonts w:ascii="Aptos" w:hAnsi="Aptos" w:cs="Arial"/>
                <w:sz w:val="22"/>
                <w:szCs w:val="22"/>
              </w:rPr>
              <w:t xml:space="preserve"> affichent également un niveau élevé de défaillances, avec 4 665 procédures (+3,1 %).</w:t>
            </w:r>
          </w:p>
          <w:p w14:paraId="56080EEA" w14:textId="0A6C0E23" w:rsidR="0054297B" w:rsidRPr="00260823" w:rsidRDefault="009D06C5" w:rsidP="0054297B">
            <w:pPr>
              <w:spacing w:line="240" w:lineRule="auto"/>
              <w:jc w:val="both"/>
              <w:rPr>
                <w:rFonts w:ascii="Aptos" w:hAnsi="Aptos" w:cs="Arial"/>
                <w:sz w:val="22"/>
                <w:szCs w:val="22"/>
              </w:rPr>
            </w:pPr>
            <w:r w:rsidRPr="00260823">
              <w:rPr>
                <w:rFonts w:ascii="Aptos" w:hAnsi="Aptos" w:cs="Arial"/>
                <w:sz w:val="22"/>
                <w:szCs w:val="22"/>
              </w:rPr>
              <w:t>3 464 sociétés de</w:t>
            </w:r>
            <w:r w:rsidRPr="00260823">
              <w:rPr>
                <w:rFonts w:ascii="Aptos" w:hAnsi="Aptos" w:cs="Arial"/>
                <w:b/>
                <w:bCs/>
                <w:sz w:val="22"/>
                <w:szCs w:val="22"/>
              </w:rPr>
              <w:t xml:space="preserve"> plus de 16 ans</w:t>
            </w:r>
            <w:r w:rsidRPr="00260823">
              <w:rPr>
                <w:rFonts w:ascii="Aptos" w:hAnsi="Aptos" w:cs="Arial"/>
                <w:sz w:val="22"/>
                <w:szCs w:val="22"/>
              </w:rPr>
              <w:t xml:space="preserve"> ont défailli au deuxième trimestre 2026, soit une </w:t>
            </w:r>
            <w:r w:rsidR="005443C1" w:rsidRPr="00260823">
              <w:rPr>
                <w:rFonts w:ascii="Aptos" w:hAnsi="Aptos" w:cs="Arial"/>
                <w:sz w:val="22"/>
                <w:szCs w:val="22"/>
              </w:rPr>
              <w:t>augmentation</w:t>
            </w:r>
            <w:r w:rsidRPr="00260823">
              <w:rPr>
                <w:rFonts w:ascii="Aptos" w:hAnsi="Aptos" w:cs="Arial"/>
                <w:sz w:val="22"/>
                <w:szCs w:val="22"/>
              </w:rPr>
              <w:t xml:space="preserve"> de 5,6 % sur un an. </w:t>
            </w:r>
          </w:p>
          <w:p w14:paraId="3FEC1C69" w14:textId="77777777" w:rsidR="006A17F5" w:rsidRPr="00260823" w:rsidRDefault="006A17F5" w:rsidP="007E4978">
            <w:pPr>
              <w:jc w:val="both"/>
              <w:rPr>
                <w:rFonts w:ascii="Aptos" w:hAnsi="Aptos" w:cs="Arial"/>
              </w:rPr>
            </w:pPr>
          </w:p>
          <w:p w14:paraId="6032E6EC" w14:textId="77777777" w:rsidR="00360F0F" w:rsidRDefault="00360F0F" w:rsidP="006A2A04">
            <w:pPr>
              <w:spacing w:line="240" w:lineRule="auto"/>
              <w:jc w:val="both"/>
              <w:rPr>
                <w:rFonts w:ascii="Aptos" w:hAnsi="Aptos" w:cs="Arial"/>
                <w:b/>
                <w:bCs/>
                <w:color w:val="0070C0"/>
              </w:rPr>
            </w:pPr>
          </w:p>
          <w:p w14:paraId="7D8F4A8D" w14:textId="77777777" w:rsidR="00ED7227" w:rsidRDefault="00ED7227" w:rsidP="006A2A04">
            <w:pPr>
              <w:spacing w:line="240" w:lineRule="auto"/>
              <w:jc w:val="both"/>
              <w:rPr>
                <w:rFonts w:ascii="Aptos" w:hAnsi="Aptos" w:cs="Arial"/>
                <w:b/>
                <w:bCs/>
                <w:color w:val="0070C0"/>
              </w:rPr>
            </w:pPr>
          </w:p>
          <w:p w14:paraId="69B83022" w14:textId="69B19A85" w:rsidR="007E4978" w:rsidRDefault="00F049AE" w:rsidP="006A2A04">
            <w:pPr>
              <w:spacing w:line="240" w:lineRule="auto"/>
              <w:jc w:val="both"/>
              <w:rPr>
                <w:rFonts w:ascii="Aptos" w:hAnsi="Aptos" w:cs="Arial"/>
                <w:b/>
                <w:bCs/>
                <w:color w:val="0070C0"/>
              </w:rPr>
            </w:pPr>
            <w:r>
              <w:rPr>
                <w:rFonts w:ascii="Aptos" w:hAnsi="Aptos" w:cs="Arial"/>
                <w:b/>
                <w:bCs/>
                <w:color w:val="0070C0"/>
              </w:rPr>
              <w:lastRenderedPageBreak/>
              <w:t xml:space="preserve">De nombreuses </w:t>
            </w:r>
            <w:r w:rsidR="00E10AE3" w:rsidRPr="00260823">
              <w:rPr>
                <w:rFonts w:ascii="Aptos" w:hAnsi="Aptos" w:cs="Arial"/>
                <w:b/>
                <w:bCs/>
                <w:color w:val="0070C0"/>
              </w:rPr>
              <w:t xml:space="preserve">activités </w:t>
            </w:r>
            <w:r>
              <w:rPr>
                <w:rFonts w:ascii="Aptos" w:hAnsi="Aptos" w:cs="Arial"/>
                <w:b/>
                <w:bCs/>
                <w:color w:val="0070C0"/>
              </w:rPr>
              <w:t>restent</w:t>
            </w:r>
            <w:r w:rsidR="00DC04C7">
              <w:rPr>
                <w:rFonts w:ascii="Aptos" w:hAnsi="Aptos" w:cs="Arial"/>
                <w:b/>
                <w:bCs/>
                <w:color w:val="0070C0"/>
              </w:rPr>
              <w:t xml:space="preserve"> </w:t>
            </w:r>
            <w:r w:rsidR="00E10AE3" w:rsidRPr="00260823">
              <w:rPr>
                <w:rFonts w:ascii="Aptos" w:hAnsi="Aptos" w:cs="Arial"/>
                <w:b/>
                <w:bCs/>
                <w:color w:val="0070C0"/>
              </w:rPr>
              <w:t>en zone de turbulence</w:t>
            </w:r>
          </w:p>
          <w:p w14:paraId="5AE89AD0" w14:textId="77777777" w:rsidR="00360F0F" w:rsidRDefault="00360F0F" w:rsidP="006A2A04">
            <w:pPr>
              <w:spacing w:line="240" w:lineRule="auto"/>
              <w:jc w:val="both"/>
              <w:rPr>
                <w:rFonts w:ascii="Aptos" w:hAnsi="Aptos" w:cs="Arial"/>
                <w:b/>
                <w:bCs/>
                <w:color w:val="0070C0"/>
              </w:rPr>
            </w:pPr>
          </w:p>
          <w:p w14:paraId="27CA68AE" w14:textId="1F59801D" w:rsidR="001B2C8A" w:rsidRPr="00260823" w:rsidRDefault="00C07846" w:rsidP="001B2C8A">
            <w:pPr>
              <w:pStyle w:val="Paragraphedeliste"/>
              <w:numPr>
                <w:ilvl w:val="0"/>
                <w:numId w:val="6"/>
              </w:numPr>
              <w:spacing w:line="240" w:lineRule="auto"/>
              <w:jc w:val="both"/>
              <w:rPr>
                <w:rFonts w:ascii="Aptos" w:hAnsi="Aptos" w:cs="Arial"/>
                <w:sz w:val="22"/>
                <w:szCs w:val="22"/>
              </w:rPr>
            </w:pPr>
            <w:r>
              <w:rPr>
                <w:rFonts w:ascii="Aptos" w:hAnsi="Aptos" w:cs="Arial"/>
                <w:b/>
                <w:bCs/>
                <w:color w:val="000000" w:themeColor="text1"/>
              </w:rPr>
              <w:t>Construction</w:t>
            </w:r>
            <w:r w:rsidR="007E4978" w:rsidRPr="00260823">
              <w:rPr>
                <w:rFonts w:ascii="Aptos" w:hAnsi="Aptos" w:cs="Arial"/>
                <w:b/>
                <w:bCs/>
                <w:color w:val="000000" w:themeColor="text1"/>
              </w:rPr>
              <w:t xml:space="preserve"> : </w:t>
            </w:r>
            <w:r w:rsidR="001B2C8A" w:rsidRPr="00260823">
              <w:rPr>
                <w:rFonts w:ascii="Aptos" w:hAnsi="Aptos" w:cs="Arial"/>
                <w:b/>
                <w:bCs/>
                <w:color w:val="000000" w:themeColor="text1"/>
              </w:rPr>
              <w:t xml:space="preserve">un peu de répit </w:t>
            </w:r>
            <w:r>
              <w:rPr>
                <w:rFonts w:ascii="Aptos" w:hAnsi="Aptos" w:cs="Arial"/>
                <w:b/>
                <w:bCs/>
                <w:color w:val="000000" w:themeColor="text1"/>
              </w:rPr>
              <w:t>mais l’immobilier et les TP encore durement touchés</w:t>
            </w:r>
          </w:p>
          <w:p w14:paraId="344AA52D" w14:textId="77777777" w:rsidR="001B2C8A" w:rsidRPr="00260823" w:rsidRDefault="001B2C8A" w:rsidP="0025652D">
            <w:pPr>
              <w:spacing w:line="240" w:lineRule="auto"/>
              <w:jc w:val="both"/>
              <w:rPr>
                <w:rFonts w:ascii="Aptos" w:hAnsi="Aptos" w:cs="Arial"/>
                <w:sz w:val="22"/>
                <w:szCs w:val="22"/>
              </w:rPr>
            </w:pPr>
          </w:p>
          <w:p w14:paraId="466F9CE9" w14:textId="58C655D3" w:rsidR="005551D8" w:rsidRPr="00A2186D" w:rsidRDefault="005551D8" w:rsidP="00FF2C60">
            <w:pPr>
              <w:spacing w:line="240" w:lineRule="auto"/>
              <w:jc w:val="both"/>
              <w:rPr>
                <w:rFonts w:ascii="Aptos" w:hAnsi="Aptos" w:cs="Arial"/>
                <w:b/>
                <w:bCs/>
                <w:sz w:val="22"/>
                <w:szCs w:val="22"/>
              </w:rPr>
            </w:pPr>
            <w:r w:rsidRPr="00A2186D">
              <w:rPr>
                <w:rFonts w:ascii="Aptos" w:hAnsi="Aptos" w:cs="Arial"/>
                <w:b/>
                <w:bCs/>
                <w:sz w:val="22"/>
                <w:szCs w:val="22"/>
              </w:rPr>
              <w:t>Avec 4 14</w:t>
            </w:r>
            <w:r w:rsidR="00360F0F">
              <w:rPr>
                <w:rFonts w:ascii="Aptos" w:hAnsi="Aptos" w:cs="Arial"/>
                <w:b/>
                <w:bCs/>
                <w:sz w:val="22"/>
                <w:szCs w:val="22"/>
              </w:rPr>
              <w:t>8</w:t>
            </w:r>
            <w:r w:rsidRPr="00A2186D">
              <w:rPr>
                <w:rFonts w:ascii="Aptos" w:hAnsi="Aptos" w:cs="Arial"/>
                <w:b/>
                <w:bCs/>
                <w:sz w:val="22"/>
                <w:szCs w:val="22"/>
              </w:rPr>
              <w:t xml:space="preserve"> défaillances au T2 2026, la construction fait preuve d'une remarquable </w:t>
            </w:r>
            <w:r w:rsidR="00BD43FE" w:rsidRPr="00A2186D">
              <w:rPr>
                <w:rFonts w:ascii="Aptos" w:hAnsi="Aptos" w:cs="Arial"/>
                <w:b/>
                <w:bCs/>
                <w:sz w:val="22"/>
                <w:szCs w:val="22"/>
              </w:rPr>
              <w:t>stabilité</w:t>
            </w:r>
            <w:r w:rsidRPr="00A2186D">
              <w:rPr>
                <w:rFonts w:ascii="Aptos" w:hAnsi="Aptos" w:cs="Arial"/>
                <w:b/>
                <w:bCs/>
                <w:sz w:val="22"/>
                <w:szCs w:val="22"/>
              </w:rPr>
              <w:t xml:space="preserve"> (-0,8 %)</w:t>
            </w:r>
            <w:r w:rsidR="00BD43FE" w:rsidRPr="00A2186D">
              <w:rPr>
                <w:rFonts w:ascii="Aptos" w:hAnsi="Aptos" w:cs="Arial"/>
                <w:b/>
                <w:bCs/>
                <w:sz w:val="22"/>
                <w:szCs w:val="22"/>
              </w:rPr>
              <w:t xml:space="preserve">, mais </w:t>
            </w:r>
            <w:r w:rsidRPr="00A2186D">
              <w:rPr>
                <w:rFonts w:ascii="Aptos" w:hAnsi="Aptos" w:cs="Arial"/>
                <w:b/>
                <w:bCs/>
                <w:sz w:val="22"/>
                <w:szCs w:val="22"/>
              </w:rPr>
              <w:t xml:space="preserve">à un niveau qui demeure élevé. Cette résistance résulte d'évolutions opposées </w:t>
            </w:r>
            <w:r w:rsidR="000D59D0" w:rsidRPr="00A2186D">
              <w:rPr>
                <w:rFonts w:ascii="Aptos" w:hAnsi="Aptos" w:cs="Arial"/>
                <w:b/>
                <w:bCs/>
                <w:sz w:val="22"/>
                <w:szCs w:val="22"/>
              </w:rPr>
              <w:t xml:space="preserve">avec d’une part </w:t>
            </w:r>
            <w:r w:rsidRPr="00A2186D">
              <w:rPr>
                <w:rFonts w:ascii="Aptos" w:hAnsi="Aptos" w:cs="Arial"/>
                <w:b/>
                <w:bCs/>
                <w:sz w:val="22"/>
                <w:szCs w:val="22"/>
              </w:rPr>
              <w:t xml:space="preserve">le recul sensible des défaillances dans le bâtiment, </w:t>
            </w:r>
            <w:r w:rsidR="000D59D0" w:rsidRPr="00A2186D">
              <w:rPr>
                <w:rFonts w:ascii="Aptos" w:hAnsi="Aptos" w:cs="Arial"/>
                <w:b/>
                <w:bCs/>
                <w:sz w:val="22"/>
                <w:szCs w:val="22"/>
              </w:rPr>
              <w:t xml:space="preserve">et d’autre part </w:t>
            </w:r>
            <w:r w:rsidR="00360F0F">
              <w:rPr>
                <w:rFonts w:ascii="Aptos" w:hAnsi="Aptos" w:cs="Arial"/>
                <w:b/>
                <w:bCs/>
                <w:sz w:val="22"/>
                <w:szCs w:val="22"/>
              </w:rPr>
              <w:t xml:space="preserve">la </w:t>
            </w:r>
            <w:r w:rsidRPr="00A2186D">
              <w:rPr>
                <w:rFonts w:ascii="Aptos" w:hAnsi="Aptos" w:cs="Arial"/>
                <w:b/>
                <w:bCs/>
                <w:sz w:val="22"/>
                <w:szCs w:val="22"/>
              </w:rPr>
              <w:t>forte dégradation des activités immobilières et travaux publics.</w:t>
            </w:r>
          </w:p>
          <w:p w14:paraId="09B269BE" w14:textId="77777777" w:rsidR="00C760CB" w:rsidRPr="00260823" w:rsidRDefault="00C760CB" w:rsidP="00FF2C60">
            <w:pPr>
              <w:spacing w:line="240" w:lineRule="auto"/>
              <w:jc w:val="both"/>
              <w:rPr>
                <w:rFonts w:ascii="Aptos" w:hAnsi="Aptos" w:cs="Arial"/>
                <w:sz w:val="22"/>
                <w:szCs w:val="22"/>
              </w:rPr>
            </w:pPr>
          </w:p>
          <w:p w14:paraId="5D54AD8F" w14:textId="20DEBF31" w:rsidR="00C760CB" w:rsidRPr="00260823" w:rsidRDefault="00C760CB" w:rsidP="00FF2C60">
            <w:pPr>
              <w:spacing w:line="240" w:lineRule="auto"/>
              <w:jc w:val="both"/>
              <w:rPr>
                <w:rFonts w:ascii="Aptos" w:hAnsi="Aptos" w:cs="Arial"/>
                <w:sz w:val="22"/>
                <w:szCs w:val="22"/>
              </w:rPr>
            </w:pPr>
            <w:r w:rsidRPr="00260823">
              <w:rPr>
                <w:rFonts w:ascii="Aptos" w:hAnsi="Aptos" w:cs="Arial"/>
                <w:b/>
                <w:bCs/>
                <w:color w:val="00B050"/>
                <w:sz w:val="22"/>
                <w:szCs w:val="22"/>
              </w:rPr>
              <w:t>Le gros œuvre</w:t>
            </w:r>
            <w:r w:rsidRPr="00260823">
              <w:rPr>
                <w:rFonts w:ascii="Aptos" w:hAnsi="Aptos" w:cs="Arial"/>
                <w:sz w:val="22"/>
                <w:szCs w:val="22"/>
              </w:rPr>
              <w:t xml:space="preserve"> </w:t>
            </w:r>
            <w:r w:rsidR="00E43532">
              <w:rPr>
                <w:rFonts w:ascii="Aptos" w:hAnsi="Aptos" w:cs="Arial"/>
                <w:sz w:val="22"/>
                <w:szCs w:val="22"/>
              </w:rPr>
              <w:t>présente une franche embellie</w:t>
            </w:r>
            <w:r w:rsidRPr="00260823">
              <w:rPr>
                <w:rFonts w:ascii="Aptos" w:hAnsi="Aptos" w:cs="Arial"/>
                <w:sz w:val="22"/>
                <w:szCs w:val="22"/>
              </w:rPr>
              <w:t xml:space="preserve"> (1 054 défaillances ; -12,4 %), portée notamment par la </w:t>
            </w:r>
            <w:r w:rsidRPr="00260823">
              <w:rPr>
                <w:rFonts w:ascii="Aptos" w:hAnsi="Aptos" w:cs="Arial"/>
                <w:b/>
                <w:bCs/>
                <w:color w:val="00B050"/>
                <w:sz w:val="22"/>
                <w:szCs w:val="22"/>
              </w:rPr>
              <w:t>maçonnerie</w:t>
            </w:r>
            <w:r w:rsidRPr="00260823">
              <w:rPr>
                <w:rFonts w:ascii="Aptos" w:hAnsi="Aptos" w:cs="Arial"/>
                <w:color w:val="00B050"/>
                <w:sz w:val="22"/>
                <w:szCs w:val="22"/>
              </w:rPr>
              <w:t xml:space="preserve"> </w:t>
            </w:r>
            <w:r w:rsidRPr="00260823">
              <w:rPr>
                <w:rFonts w:ascii="Aptos" w:hAnsi="Aptos" w:cs="Arial"/>
                <w:sz w:val="22"/>
                <w:szCs w:val="22"/>
              </w:rPr>
              <w:t xml:space="preserve">(-12 %) et la </w:t>
            </w:r>
            <w:r w:rsidRPr="00260823">
              <w:rPr>
                <w:rFonts w:ascii="Aptos" w:hAnsi="Aptos" w:cs="Arial"/>
                <w:b/>
                <w:bCs/>
                <w:color w:val="00B050"/>
                <w:sz w:val="22"/>
                <w:szCs w:val="22"/>
              </w:rPr>
              <w:t>construction de</w:t>
            </w:r>
            <w:r w:rsidRPr="00260823">
              <w:rPr>
                <w:rFonts w:ascii="Aptos" w:hAnsi="Aptos" w:cs="Arial"/>
                <w:sz w:val="22"/>
                <w:szCs w:val="22"/>
              </w:rPr>
              <w:t xml:space="preserve"> </w:t>
            </w:r>
            <w:r w:rsidRPr="00260823">
              <w:rPr>
                <w:rFonts w:ascii="Aptos" w:hAnsi="Aptos" w:cs="Arial"/>
                <w:b/>
                <w:bCs/>
                <w:color w:val="00B050"/>
                <w:sz w:val="22"/>
                <w:szCs w:val="22"/>
              </w:rPr>
              <w:t>maisons individuelles</w:t>
            </w:r>
            <w:r w:rsidRPr="00260823">
              <w:rPr>
                <w:rFonts w:ascii="Aptos" w:hAnsi="Aptos" w:cs="Arial"/>
                <w:color w:val="00B050"/>
                <w:sz w:val="22"/>
                <w:szCs w:val="22"/>
              </w:rPr>
              <w:t xml:space="preserve"> </w:t>
            </w:r>
            <w:r w:rsidRPr="00360F0F">
              <w:rPr>
                <w:rFonts w:ascii="Aptos" w:hAnsi="Aptos" w:cs="Arial"/>
                <w:sz w:val="22"/>
                <w:szCs w:val="22"/>
              </w:rPr>
              <w:t>(-</w:t>
            </w:r>
            <w:r w:rsidRPr="00260823">
              <w:rPr>
                <w:rFonts w:ascii="Aptos" w:hAnsi="Aptos" w:cs="Arial"/>
                <w:sz w:val="22"/>
                <w:szCs w:val="22"/>
              </w:rPr>
              <w:t xml:space="preserve">11 %). Le second œuvre suit la même tendance (1 922 ; -5,5 %) grâce </w:t>
            </w:r>
            <w:r w:rsidR="00E43532">
              <w:rPr>
                <w:rFonts w:ascii="Aptos" w:hAnsi="Aptos" w:cs="Arial"/>
                <w:sz w:val="22"/>
                <w:szCs w:val="22"/>
              </w:rPr>
              <w:t xml:space="preserve">à la bonne dynamique </w:t>
            </w:r>
            <w:r w:rsidRPr="00260823">
              <w:rPr>
                <w:rFonts w:ascii="Aptos" w:hAnsi="Aptos" w:cs="Arial"/>
                <w:sz w:val="22"/>
                <w:szCs w:val="22"/>
              </w:rPr>
              <w:t xml:space="preserve">dans les </w:t>
            </w:r>
            <w:r w:rsidRPr="00260823">
              <w:rPr>
                <w:rFonts w:ascii="Aptos" w:hAnsi="Aptos" w:cs="Arial"/>
                <w:b/>
                <w:bCs/>
                <w:color w:val="00B050"/>
                <w:sz w:val="22"/>
                <w:szCs w:val="22"/>
              </w:rPr>
              <w:t>travaux électriques</w:t>
            </w:r>
            <w:r w:rsidRPr="00260823">
              <w:rPr>
                <w:rFonts w:ascii="Aptos" w:hAnsi="Aptos" w:cs="Arial"/>
                <w:sz w:val="22"/>
                <w:szCs w:val="22"/>
              </w:rPr>
              <w:t xml:space="preserve"> (-15 %) et les </w:t>
            </w:r>
            <w:r w:rsidRPr="00E43532">
              <w:rPr>
                <w:rFonts w:ascii="Aptos" w:hAnsi="Aptos" w:cs="Arial"/>
                <w:b/>
                <w:bCs/>
                <w:color w:val="00B050"/>
                <w:sz w:val="22"/>
                <w:szCs w:val="22"/>
              </w:rPr>
              <w:t>équipements</w:t>
            </w:r>
            <w:r w:rsidRPr="00260823">
              <w:rPr>
                <w:rFonts w:ascii="Aptos" w:hAnsi="Aptos" w:cs="Arial"/>
                <w:sz w:val="22"/>
                <w:szCs w:val="22"/>
              </w:rPr>
              <w:t xml:space="preserve"> </w:t>
            </w:r>
            <w:r w:rsidRPr="00260823">
              <w:rPr>
                <w:rFonts w:ascii="Aptos" w:hAnsi="Aptos" w:cs="Arial"/>
                <w:b/>
                <w:bCs/>
                <w:color w:val="00B050"/>
                <w:sz w:val="22"/>
                <w:szCs w:val="22"/>
              </w:rPr>
              <w:t>thermiques et climatiques</w:t>
            </w:r>
            <w:r w:rsidRPr="00260823">
              <w:rPr>
                <w:rFonts w:ascii="Aptos" w:hAnsi="Aptos" w:cs="Arial"/>
                <w:color w:val="00B050"/>
                <w:sz w:val="22"/>
                <w:szCs w:val="22"/>
              </w:rPr>
              <w:t xml:space="preserve"> </w:t>
            </w:r>
            <w:r w:rsidRPr="00260823">
              <w:rPr>
                <w:rFonts w:ascii="Aptos" w:hAnsi="Aptos" w:cs="Arial"/>
                <w:sz w:val="22"/>
                <w:szCs w:val="22"/>
              </w:rPr>
              <w:t xml:space="preserve">(-20 %). </w:t>
            </w:r>
            <w:r w:rsidR="00F83421" w:rsidRPr="00260823">
              <w:rPr>
                <w:rFonts w:ascii="Aptos" w:hAnsi="Aptos" w:cs="Arial"/>
                <w:sz w:val="22"/>
                <w:szCs w:val="22"/>
              </w:rPr>
              <w:t>C</w:t>
            </w:r>
            <w:r w:rsidRPr="00260823">
              <w:rPr>
                <w:rFonts w:ascii="Aptos" w:hAnsi="Aptos" w:cs="Arial"/>
                <w:sz w:val="22"/>
                <w:szCs w:val="22"/>
              </w:rPr>
              <w:t xml:space="preserve">ertains métiers restent </w:t>
            </w:r>
            <w:r w:rsidR="00E43532">
              <w:rPr>
                <w:rFonts w:ascii="Aptos" w:hAnsi="Aptos" w:cs="Arial"/>
                <w:sz w:val="22"/>
                <w:szCs w:val="22"/>
              </w:rPr>
              <w:t xml:space="preserve">toutefois </w:t>
            </w:r>
            <w:r w:rsidR="00C069A6">
              <w:rPr>
                <w:rFonts w:ascii="Aptos" w:hAnsi="Aptos" w:cs="Arial"/>
                <w:sz w:val="22"/>
                <w:szCs w:val="22"/>
              </w:rPr>
              <w:t xml:space="preserve">en grande difficulté </w:t>
            </w:r>
            <w:r w:rsidR="00F83421" w:rsidRPr="00260823">
              <w:rPr>
                <w:rFonts w:ascii="Aptos" w:hAnsi="Aptos" w:cs="Arial"/>
                <w:sz w:val="22"/>
                <w:szCs w:val="22"/>
              </w:rPr>
              <w:t>comme</w:t>
            </w:r>
            <w:r w:rsidRPr="00260823">
              <w:rPr>
                <w:rFonts w:ascii="Aptos" w:hAnsi="Aptos" w:cs="Arial"/>
                <w:sz w:val="22"/>
                <w:szCs w:val="22"/>
              </w:rPr>
              <w:t xml:space="preserve"> la </w:t>
            </w:r>
            <w:r w:rsidRPr="00260823">
              <w:rPr>
                <w:rFonts w:ascii="Aptos" w:hAnsi="Aptos" w:cs="Arial"/>
                <w:b/>
                <w:bCs/>
                <w:color w:val="FF0000"/>
                <w:sz w:val="22"/>
                <w:szCs w:val="22"/>
              </w:rPr>
              <w:t>plâtrerie</w:t>
            </w:r>
            <w:r w:rsidRPr="00260823">
              <w:rPr>
                <w:rFonts w:ascii="Aptos" w:hAnsi="Aptos" w:cs="Arial"/>
                <w:color w:val="FF0000"/>
                <w:sz w:val="22"/>
                <w:szCs w:val="22"/>
              </w:rPr>
              <w:t xml:space="preserve"> </w:t>
            </w:r>
            <w:r w:rsidRPr="00260823">
              <w:rPr>
                <w:rFonts w:ascii="Aptos" w:hAnsi="Aptos" w:cs="Arial"/>
                <w:sz w:val="22"/>
                <w:szCs w:val="22"/>
              </w:rPr>
              <w:t xml:space="preserve">(+13 %) ou la </w:t>
            </w:r>
            <w:r w:rsidRPr="00260823">
              <w:rPr>
                <w:rFonts w:ascii="Aptos" w:hAnsi="Aptos" w:cs="Arial"/>
                <w:b/>
                <w:bCs/>
                <w:color w:val="FF0000"/>
                <w:sz w:val="22"/>
                <w:szCs w:val="22"/>
              </w:rPr>
              <w:t>charpente</w:t>
            </w:r>
            <w:r w:rsidRPr="00260823">
              <w:rPr>
                <w:rFonts w:ascii="Aptos" w:hAnsi="Aptos" w:cs="Arial"/>
                <w:color w:val="FF0000"/>
                <w:sz w:val="22"/>
                <w:szCs w:val="22"/>
              </w:rPr>
              <w:t xml:space="preserve"> </w:t>
            </w:r>
            <w:r w:rsidRPr="00260823">
              <w:rPr>
                <w:rFonts w:ascii="Aptos" w:hAnsi="Aptos" w:cs="Arial"/>
                <w:sz w:val="22"/>
                <w:szCs w:val="22"/>
              </w:rPr>
              <w:t>(+57 %).</w:t>
            </w:r>
          </w:p>
          <w:p w14:paraId="164A283B" w14:textId="6AA69F97" w:rsidR="005551D8" w:rsidRDefault="005551D8" w:rsidP="00FF2C60">
            <w:pPr>
              <w:spacing w:line="240" w:lineRule="auto"/>
              <w:jc w:val="both"/>
              <w:rPr>
                <w:rFonts w:ascii="Aptos" w:hAnsi="Aptos" w:cs="Arial"/>
                <w:sz w:val="22"/>
                <w:szCs w:val="22"/>
              </w:rPr>
            </w:pPr>
            <w:r w:rsidRPr="00260823">
              <w:rPr>
                <w:rFonts w:ascii="Aptos" w:hAnsi="Aptos" w:cs="Arial"/>
                <w:sz w:val="22"/>
                <w:szCs w:val="22"/>
              </w:rPr>
              <w:t xml:space="preserve">Les </w:t>
            </w:r>
            <w:r w:rsidRPr="00260823">
              <w:rPr>
                <w:rFonts w:ascii="Aptos" w:hAnsi="Aptos" w:cs="Arial"/>
                <w:b/>
                <w:bCs/>
                <w:color w:val="FF0000"/>
                <w:sz w:val="22"/>
                <w:szCs w:val="22"/>
              </w:rPr>
              <w:t>travaux publics</w:t>
            </w:r>
            <w:r w:rsidRPr="00260823">
              <w:rPr>
                <w:rFonts w:ascii="Aptos" w:hAnsi="Aptos" w:cs="Arial"/>
                <w:color w:val="FF0000"/>
                <w:sz w:val="22"/>
                <w:szCs w:val="22"/>
              </w:rPr>
              <w:t xml:space="preserve"> </w:t>
            </w:r>
            <w:r w:rsidR="0070155E">
              <w:rPr>
                <w:rFonts w:ascii="Aptos" w:hAnsi="Aptos" w:cs="Arial"/>
                <w:sz w:val="22"/>
                <w:szCs w:val="22"/>
              </w:rPr>
              <w:t>sont à la peine</w:t>
            </w:r>
            <w:r w:rsidR="00F83421" w:rsidRPr="00260823">
              <w:rPr>
                <w:rFonts w:ascii="Aptos" w:hAnsi="Aptos" w:cs="Arial"/>
                <w:sz w:val="22"/>
                <w:szCs w:val="22"/>
              </w:rPr>
              <w:t> </w:t>
            </w:r>
            <w:r w:rsidR="0039233D" w:rsidRPr="00260823">
              <w:rPr>
                <w:rFonts w:ascii="Aptos" w:hAnsi="Aptos" w:cs="Arial"/>
                <w:sz w:val="22"/>
                <w:szCs w:val="22"/>
              </w:rPr>
              <w:t xml:space="preserve">avec </w:t>
            </w:r>
            <w:r w:rsidRPr="00260823">
              <w:rPr>
                <w:rFonts w:ascii="Aptos" w:hAnsi="Aptos" w:cs="Arial"/>
                <w:sz w:val="22"/>
                <w:szCs w:val="22"/>
              </w:rPr>
              <w:t>197 défaillances (+8,8 %)</w:t>
            </w:r>
            <w:r w:rsidR="0070155E">
              <w:rPr>
                <w:rFonts w:ascii="Aptos" w:hAnsi="Aptos" w:cs="Arial"/>
                <w:sz w:val="22"/>
                <w:szCs w:val="22"/>
              </w:rPr>
              <w:t>, en particulier les</w:t>
            </w:r>
            <w:r w:rsidR="00590318" w:rsidRPr="00260823">
              <w:rPr>
                <w:rFonts w:ascii="Aptos" w:hAnsi="Aptos" w:cs="Arial"/>
                <w:sz w:val="22"/>
                <w:szCs w:val="22"/>
              </w:rPr>
              <w:t xml:space="preserve"> </w:t>
            </w:r>
            <w:r w:rsidRPr="00260823">
              <w:rPr>
                <w:rFonts w:ascii="Aptos" w:hAnsi="Aptos" w:cs="Arial"/>
                <w:b/>
                <w:bCs/>
                <w:color w:val="FF0000"/>
                <w:sz w:val="22"/>
                <w:szCs w:val="22"/>
              </w:rPr>
              <w:t>travaux de</w:t>
            </w:r>
            <w:r w:rsidRPr="00260823">
              <w:rPr>
                <w:rFonts w:ascii="Aptos" w:hAnsi="Aptos" w:cs="Arial"/>
                <w:sz w:val="22"/>
                <w:szCs w:val="22"/>
              </w:rPr>
              <w:t xml:space="preserve"> </w:t>
            </w:r>
            <w:r w:rsidRPr="00260823">
              <w:rPr>
                <w:rFonts w:ascii="Aptos" w:hAnsi="Aptos" w:cs="Arial"/>
                <w:b/>
                <w:bCs/>
                <w:color w:val="FF0000"/>
                <w:sz w:val="22"/>
                <w:szCs w:val="22"/>
              </w:rPr>
              <w:t>terrassement</w:t>
            </w:r>
            <w:r w:rsidRPr="00260823">
              <w:rPr>
                <w:rFonts w:ascii="Aptos" w:hAnsi="Aptos" w:cs="Arial"/>
                <w:color w:val="FF0000"/>
                <w:sz w:val="22"/>
                <w:szCs w:val="22"/>
              </w:rPr>
              <w:t xml:space="preserve"> </w:t>
            </w:r>
            <w:r w:rsidRPr="00260823">
              <w:rPr>
                <w:rFonts w:ascii="Aptos" w:hAnsi="Aptos" w:cs="Arial"/>
                <w:sz w:val="22"/>
                <w:szCs w:val="22"/>
              </w:rPr>
              <w:t>(+18 %).</w:t>
            </w:r>
          </w:p>
          <w:p w14:paraId="1F1727E9" w14:textId="77777777" w:rsidR="0070155E" w:rsidRPr="00260823" w:rsidRDefault="0070155E" w:rsidP="00FF2C60">
            <w:pPr>
              <w:spacing w:line="240" w:lineRule="auto"/>
              <w:jc w:val="both"/>
              <w:rPr>
                <w:rFonts w:ascii="Aptos" w:hAnsi="Aptos" w:cs="Arial"/>
                <w:sz w:val="22"/>
                <w:szCs w:val="22"/>
              </w:rPr>
            </w:pPr>
          </w:p>
          <w:p w14:paraId="11572D6C" w14:textId="621425E9" w:rsidR="00EE2D64" w:rsidRPr="0070155E" w:rsidRDefault="001B49DB" w:rsidP="00FF2C60">
            <w:pPr>
              <w:spacing w:line="240" w:lineRule="auto"/>
              <w:jc w:val="both"/>
              <w:rPr>
                <w:rFonts w:ascii="Aptos" w:hAnsi="Aptos" w:cs="Arial"/>
                <w:sz w:val="22"/>
                <w:szCs w:val="22"/>
              </w:rPr>
            </w:pPr>
            <w:r w:rsidRPr="0070155E">
              <w:rPr>
                <w:rFonts w:ascii="Aptos" w:hAnsi="Aptos" w:cs="Arial"/>
                <w:b/>
                <w:bCs/>
                <w:color w:val="FF0000"/>
                <w:sz w:val="22"/>
                <w:szCs w:val="22"/>
              </w:rPr>
              <w:t>L'immobilier</w:t>
            </w:r>
            <w:r w:rsidRPr="0070155E">
              <w:rPr>
                <w:rFonts w:ascii="Aptos" w:hAnsi="Aptos" w:cs="Arial"/>
                <w:color w:val="FF0000"/>
                <w:sz w:val="22"/>
                <w:szCs w:val="22"/>
              </w:rPr>
              <w:t xml:space="preserve"> </w:t>
            </w:r>
            <w:r w:rsidRPr="0070155E">
              <w:rPr>
                <w:rFonts w:ascii="Aptos" w:hAnsi="Aptos" w:cs="Arial"/>
                <w:sz w:val="22"/>
                <w:szCs w:val="22"/>
              </w:rPr>
              <w:t xml:space="preserve">est toujours un foyer de </w:t>
            </w:r>
            <w:r w:rsidR="0070155E" w:rsidRPr="0070155E">
              <w:rPr>
                <w:rFonts w:ascii="Aptos" w:hAnsi="Aptos" w:cs="Arial"/>
                <w:sz w:val="22"/>
                <w:szCs w:val="22"/>
              </w:rPr>
              <w:t xml:space="preserve">très fortes </w:t>
            </w:r>
            <w:r w:rsidRPr="0070155E">
              <w:rPr>
                <w:rFonts w:ascii="Aptos" w:hAnsi="Aptos" w:cs="Arial"/>
                <w:sz w:val="22"/>
                <w:szCs w:val="22"/>
              </w:rPr>
              <w:t>tension</w:t>
            </w:r>
            <w:r w:rsidR="0070155E" w:rsidRPr="0070155E">
              <w:rPr>
                <w:rFonts w:ascii="Aptos" w:hAnsi="Aptos" w:cs="Arial"/>
                <w:sz w:val="22"/>
                <w:szCs w:val="22"/>
              </w:rPr>
              <w:t>s</w:t>
            </w:r>
            <w:r w:rsidRPr="0070155E">
              <w:rPr>
                <w:rFonts w:ascii="Aptos" w:hAnsi="Aptos" w:cs="Arial"/>
                <w:sz w:val="22"/>
                <w:szCs w:val="22"/>
              </w:rPr>
              <w:t xml:space="preserve">. La </w:t>
            </w:r>
            <w:r w:rsidRPr="0070155E">
              <w:rPr>
                <w:rFonts w:ascii="Aptos" w:hAnsi="Aptos" w:cs="Arial"/>
                <w:b/>
                <w:bCs/>
                <w:color w:val="FF0000"/>
                <w:sz w:val="22"/>
                <w:szCs w:val="22"/>
              </w:rPr>
              <w:t>promotion immobilière</w:t>
            </w:r>
            <w:r w:rsidRPr="0070155E">
              <w:rPr>
                <w:rFonts w:ascii="Aptos" w:hAnsi="Aptos" w:cs="Arial"/>
                <w:color w:val="FF0000"/>
                <w:sz w:val="22"/>
                <w:szCs w:val="22"/>
              </w:rPr>
              <w:t xml:space="preserve"> </w:t>
            </w:r>
            <w:r w:rsidRPr="0070155E">
              <w:rPr>
                <w:rFonts w:ascii="Aptos" w:hAnsi="Aptos" w:cs="Arial"/>
                <w:sz w:val="22"/>
                <w:szCs w:val="22"/>
              </w:rPr>
              <w:t xml:space="preserve">enregistre 276 défaillances (+87,8 %). Ce taux tient à l'envolée des défauts de </w:t>
            </w:r>
            <w:r w:rsidRPr="0070155E">
              <w:rPr>
                <w:rFonts w:ascii="Aptos" w:hAnsi="Aptos" w:cs="Arial"/>
                <w:b/>
                <w:bCs/>
                <w:color w:val="FF0000"/>
                <w:sz w:val="22"/>
                <w:szCs w:val="22"/>
              </w:rPr>
              <w:t xml:space="preserve">supports juridiques de programmes immobiliers </w:t>
            </w:r>
            <w:r w:rsidRPr="0070155E">
              <w:rPr>
                <w:rFonts w:ascii="Aptos" w:hAnsi="Aptos" w:cs="Arial"/>
                <w:sz w:val="22"/>
                <w:szCs w:val="22"/>
              </w:rPr>
              <w:t>(+180 %) dont</w:t>
            </w:r>
            <w:r w:rsidRPr="0070155E">
              <w:rPr>
                <w:rFonts w:ascii="Aptos" w:hAnsi="Aptos"/>
                <w:sz w:val="22"/>
                <w:szCs w:val="22"/>
              </w:rPr>
              <w:t xml:space="preserve"> </w:t>
            </w:r>
            <w:r w:rsidR="00462B81" w:rsidRPr="0070155E">
              <w:rPr>
                <w:rFonts w:ascii="Aptos" w:hAnsi="Aptos"/>
                <w:sz w:val="22"/>
                <w:szCs w:val="22"/>
              </w:rPr>
              <w:t xml:space="preserve">plus de la moitié sont des </w:t>
            </w:r>
            <w:r w:rsidRPr="0070155E">
              <w:rPr>
                <w:rFonts w:ascii="Aptos" w:hAnsi="Aptos"/>
                <w:sz w:val="22"/>
                <w:szCs w:val="22"/>
              </w:rPr>
              <w:t>société</w:t>
            </w:r>
            <w:r w:rsidR="00462B81" w:rsidRPr="0070155E">
              <w:rPr>
                <w:rFonts w:ascii="Aptos" w:hAnsi="Aptos"/>
                <w:sz w:val="22"/>
                <w:szCs w:val="22"/>
              </w:rPr>
              <w:t>s</w:t>
            </w:r>
            <w:r w:rsidRPr="0070155E">
              <w:rPr>
                <w:rFonts w:ascii="Aptos" w:hAnsi="Aptos"/>
                <w:sz w:val="22"/>
                <w:szCs w:val="22"/>
              </w:rPr>
              <w:t xml:space="preserve"> de construction vente</w:t>
            </w:r>
            <w:r w:rsidR="00462B81" w:rsidRPr="0070155E">
              <w:rPr>
                <w:rFonts w:ascii="Aptos" w:hAnsi="Aptos"/>
                <w:sz w:val="22"/>
                <w:szCs w:val="22"/>
              </w:rPr>
              <w:t xml:space="preserve"> </w:t>
            </w:r>
            <w:r w:rsidR="00973C94" w:rsidRPr="0070155E">
              <w:rPr>
                <w:rFonts w:ascii="Aptos" w:hAnsi="Aptos"/>
                <w:sz w:val="22"/>
                <w:szCs w:val="22"/>
              </w:rPr>
              <w:t xml:space="preserve">détenues par </w:t>
            </w:r>
            <w:r w:rsidR="00462B81" w:rsidRPr="0070155E">
              <w:rPr>
                <w:rFonts w:ascii="Aptos" w:hAnsi="Aptos"/>
                <w:sz w:val="22"/>
                <w:szCs w:val="22"/>
              </w:rPr>
              <w:t>HPL Groupe. L</w:t>
            </w:r>
            <w:r w:rsidRPr="0070155E">
              <w:rPr>
                <w:rFonts w:ascii="Aptos" w:hAnsi="Aptos" w:cs="Arial"/>
                <w:sz w:val="22"/>
                <w:szCs w:val="22"/>
              </w:rPr>
              <w:t xml:space="preserve">es </w:t>
            </w:r>
            <w:r w:rsidRPr="0070155E">
              <w:rPr>
                <w:rFonts w:ascii="Aptos" w:hAnsi="Aptos" w:cs="Arial"/>
                <w:b/>
                <w:bCs/>
                <w:color w:val="00B050"/>
                <w:sz w:val="22"/>
                <w:szCs w:val="22"/>
              </w:rPr>
              <w:t xml:space="preserve">agences immobilières </w:t>
            </w:r>
            <w:r w:rsidRPr="0070155E">
              <w:rPr>
                <w:rFonts w:ascii="Aptos" w:hAnsi="Aptos" w:cs="Arial"/>
                <w:sz w:val="22"/>
                <w:szCs w:val="22"/>
              </w:rPr>
              <w:t xml:space="preserve">parviennent </w:t>
            </w:r>
            <w:r w:rsidR="00462B81" w:rsidRPr="0070155E">
              <w:rPr>
                <w:rFonts w:ascii="Aptos" w:hAnsi="Aptos" w:cs="Arial"/>
                <w:sz w:val="22"/>
                <w:szCs w:val="22"/>
              </w:rPr>
              <w:t xml:space="preserve">cependant </w:t>
            </w:r>
            <w:r w:rsidRPr="0070155E">
              <w:rPr>
                <w:rFonts w:ascii="Aptos" w:hAnsi="Aptos" w:cs="Arial"/>
                <w:sz w:val="22"/>
                <w:szCs w:val="22"/>
              </w:rPr>
              <w:t>à contenir leurs difficultés (-4,9 %)</w:t>
            </w:r>
            <w:r w:rsidR="00462B81" w:rsidRPr="0070155E">
              <w:rPr>
                <w:rFonts w:ascii="Aptos" w:hAnsi="Aptos" w:cs="Arial"/>
                <w:sz w:val="22"/>
                <w:szCs w:val="22"/>
              </w:rPr>
              <w:t>.</w:t>
            </w:r>
          </w:p>
          <w:p w14:paraId="025C0599" w14:textId="77777777" w:rsidR="0066459D" w:rsidRPr="00260823" w:rsidRDefault="0066459D" w:rsidP="007E4978">
            <w:pPr>
              <w:jc w:val="both"/>
              <w:rPr>
                <w:rFonts w:ascii="Aptos" w:hAnsi="Aptos" w:cs="Arial"/>
              </w:rPr>
            </w:pPr>
          </w:p>
          <w:p w14:paraId="42FFDA95" w14:textId="48637907" w:rsidR="006F0F8A" w:rsidRPr="00260823" w:rsidRDefault="00C07846" w:rsidP="006F0F8A">
            <w:pPr>
              <w:pStyle w:val="Paragraphedeliste"/>
              <w:numPr>
                <w:ilvl w:val="0"/>
                <w:numId w:val="6"/>
              </w:numPr>
              <w:jc w:val="both"/>
              <w:rPr>
                <w:rFonts w:ascii="Aptos" w:hAnsi="Aptos" w:cs="Arial"/>
                <w:b/>
                <w:bCs/>
              </w:rPr>
            </w:pPr>
            <w:r>
              <w:rPr>
                <w:rFonts w:ascii="Aptos" w:hAnsi="Aptos" w:cs="Arial"/>
                <w:b/>
                <w:bCs/>
              </w:rPr>
              <w:t>Commerce</w:t>
            </w:r>
            <w:r w:rsidR="007A5D3D" w:rsidRPr="00260823">
              <w:rPr>
                <w:rFonts w:ascii="Aptos" w:hAnsi="Aptos" w:cs="Arial"/>
                <w:b/>
                <w:bCs/>
              </w:rPr>
              <w:t xml:space="preserve"> : </w:t>
            </w:r>
            <w:r w:rsidR="0066459D" w:rsidRPr="00260823">
              <w:rPr>
                <w:rFonts w:ascii="Aptos" w:hAnsi="Aptos" w:cs="Arial"/>
                <w:b/>
                <w:bCs/>
              </w:rPr>
              <w:t>des évolutions très contrastées</w:t>
            </w:r>
          </w:p>
          <w:p w14:paraId="5AE334AB" w14:textId="77777777" w:rsidR="00B42955" w:rsidRPr="00260823" w:rsidRDefault="00B42955" w:rsidP="003C05D9">
            <w:pPr>
              <w:spacing w:line="240" w:lineRule="auto"/>
              <w:jc w:val="both"/>
              <w:rPr>
                <w:rFonts w:ascii="Aptos" w:hAnsi="Aptos" w:cs="Arial"/>
                <w:sz w:val="22"/>
                <w:szCs w:val="22"/>
              </w:rPr>
            </w:pPr>
          </w:p>
          <w:p w14:paraId="4ACDCCE2" w14:textId="3EBC558D" w:rsidR="0032533C" w:rsidRPr="00A2186D" w:rsidRDefault="000B7BAC" w:rsidP="003C05D9">
            <w:pPr>
              <w:spacing w:line="240" w:lineRule="auto"/>
              <w:jc w:val="both"/>
              <w:rPr>
                <w:rFonts w:ascii="Aptos" w:hAnsi="Aptos" w:cs="Arial"/>
                <w:b/>
                <w:bCs/>
                <w:sz w:val="22"/>
                <w:szCs w:val="22"/>
              </w:rPr>
            </w:pPr>
            <w:r w:rsidRPr="00A2186D">
              <w:rPr>
                <w:rFonts w:ascii="Aptos" w:hAnsi="Aptos" w:cs="Arial"/>
                <w:b/>
                <w:bCs/>
                <w:sz w:val="22"/>
                <w:szCs w:val="22"/>
              </w:rPr>
              <w:t xml:space="preserve">Avec 3 466 défaillances enregistrées au </w:t>
            </w:r>
            <w:r w:rsidR="00AE43D8" w:rsidRPr="00A2186D">
              <w:rPr>
                <w:rFonts w:ascii="Aptos" w:hAnsi="Aptos" w:cs="Arial"/>
                <w:b/>
                <w:bCs/>
                <w:sz w:val="22"/>
                <w:szCs w:val="22"/>
              </w:rPr>
              <w:t>T2</w:t>
            </w:r>
            <w:r w:rsidRPr="00A2186D">
              <w:rPr>
                <w:rFonts w:ascii="Aptos" w:hAnsi="Aptos" w:cs="Arial"/>
                <w:b/>
                <w:bCs/>
                <w:sz w:val="22"/>
                <w:szCs w:val="22"/>
              </w:rPr>
              <w:t xml:space="preserve"> 2026, le commerce</w:t>
            </w:r>
            <w:r w:rsidR="00FF2C60" w:rsidRPr="00A2186D">
              <w:rPr>
                <w:rFonts w:ascii="Aptos" w:hAnsi="Aptos" w:cs="Arial"/>
                <w:b/>
                <w:bCs/>
                <w:sz w:val="22"/>
                <w:szCs w:val="22"/>
              </w:rPr>
              <w:t xml:space="preserve"> présente des volumes de défauts en hausse d</w:t>
            </w:r>
            <w:r w:rsidR="00360F0F">
              <w:rPr>
                <w:rFonts w:ascii="Aptos" w:hAnsi="Aptos" w:cs="Arial"/>
                <w:b/>
                <w:bCs/>
                <w:sz w:val="22"/>
                <w:szCs w:val="22"/>
              </w:rPr>
              <w:t xml:space="preserve">e </w:t>
            </w:r>
            <w:r w:rsidRPr="00A2186D">
              <w:rPr>
                <w:rFonts w:ascii="Aptos" w:hAnsi="Aptos" w:cs="Arial"/>
                <w:b/>
                <w:bCs/>
                <w:sz w:val="22"/>
                <w:szCs w:val="22"/>
              </w:rPr>
              <w:t xml:space="preserve">1,9 %. </w:t>
            </w:r>
            <w:r w:rsidR="00B42955" w:rsidRPr="00A2186D">
              <w:rPr>
                <w:rFonts w:ascii="Aptos" w:hAnsi="Aptos" w:cs="Arial"/>
                <w:b/>
                <w:bCs/>
                <w:sz w:val="22"/>
                <w:szCs w:val="22"/>
              </w:rPr>
              <w:t xml:space="preserve">Cette </w:t>
            </w:r>
            <w:r w:rsidR="008D06A5" w:rsidRPr="00A2186D">
              <w:rPr>
                <w:rFonts w:ascii="Aptos" w:hAnsi="Aptos" w:cs="Arial"/>
                <w:b/>
                <w:bCs/>
                <w:sz w:val="22"/>
                <w:szCs w:val="22"/>
              </w:rPr>
              <w:t>hausse</w:t>
            </w:r>
            <w:r w:rsidR="00B42955" w:rsidRPr="00A2186D">
              <w:rPr>
                <w:rFonts w:ascii="Aptos" w:hAnsi="Aptos" w:cs="Arial"/>
                <w:b/>
                <w:bCs/>
                <w:sz w:val="22"/>
                <w:szCs w:val="22"/>
              </w:rPr>
              <w:t xml:space="preserve"> est principalement alimentée par la forte dégradation du </w:t>
            </w:r>
            <w:r w:rsidR="0032533C" w:rsidRPr="00A2186D">
              <w:rPr>
                <w:rFonts w:ascii="Aptos" w:hAnsi="Aptos" w:cs="Arial"/>
                <w:b/>
                <w:bCs/>
                <w:sz w:val="22"/>
                <w:szCs w:val="22"/>
              </w:rPr>
              <w:t xml:space="preserve">commerce et </w:t>
            </w:r>
            <w:r w:rsidR="00305522" w:rsidRPr="00A2186D">
              <w:rPr>
                <w:rFonts w:ascii="Aptos" w:hAnsi="Aptos" w:cs="Arial"/>
                <w:b/>
                <w:bCs/>
                <w:sz w:val="22"/>
                <w:szCs w:val="22"/>
              </w:rPr>
              <w:t xml:space="preserve">de la </w:t>
            </w:r>
            <w:r w:rsidR="0032533C" w:rsidRPr="00A2186D">
              <w:rPr>
                <w:rFonts w:ascii="Aptos" w:hAnsi="Aptos" w:cs="Arial"/>
                <w:b/>
                <w:bCs/>
                <w:sz w:val="22"/>
                <w:szCs w:val="22"/>
              </w:rPr>
              <w:t>réparation automobile</w:t>
            </w:r>
            <w:r w:rsidR="00B42955" w:rsidRPr="00A2186D">
              <w:rPr>
                <w:rFonts w:ascii="Aptos" w:hAnsi="Aptos" w:cs="Arial"/>
                <w:b/>
                <w:bCs/>
                <w:sz w:val="22"/>
                <w:szCs w:val="22"/>
              </w:rPr>
              <w:t>, tandis que les situations se détendent dans le commerce de détail et le négoce interentreprises</w:t>
            </w:r>
            <w:r w:rsidR="0032533C" w:rsidRPr="00A2186D">
              <w:rPr>
                <w:rFonts w:ascii="Aptos" w:hAnsi="Aptos" w:cs="Arial"/>
                <w:b/>
                <w:bCs/>
                <w:sz w:val="22"/>
                <w:szCs w:val="22"/>
              </w:rPr>
              <w:t>.</w:t>
            </w:r>
          </w:p>
          <w:p w14:paraId="5873333B" w14:textId="77777777" w:rsidR="00F90D98" w:rsidRPr="005C4FAE" w:rsidRDefault="00F90D98" w:rsidP="003C05D9">
            <w:pPr>
              <w:spacing w:line="240" w:lineRule="auto"/>
              <w:jc w:val="both"/>
              <w:rPr>
                <w:rFonts w:ascii="Aptos" w:hAnsi="Aptos" w:cs="Arial"/>
                <w:sz w:val="22"/>
                <w:szCs w:val="22"/>
              </w:rPr>
            </w:pPr>
          </w:p>
          <w:p w14:paraId="6018DCA0" w14:textId="749A98A7" w:rsidR="00BD0626" w:rsidRPr="005C4FAE" w:rsidRDefault="00B42955" w:rsidP="00B42955">
            <w:pPr>
              <w:spacing w:line="240" w:lineRule="auto"/>
              <w:jc w:val="both"/>
              <w:rPr>
                <w:rFonts w:ascii="Aptos" w:hAnsi="Aptos" w:cs="Arial"/>
                <w:sz w:val="22"/>
                <w:szCs w:val="22"/>
              </w:rPr>
            </w:pPr>
            <w:r w:rsidRPr="005C4FAE">
              <w:rPr>
                <w:rFonts w:ascii="Aptos" w:hAnsi="Aptos" w:cs="Arial"/>
                <w:sz w:val="22"/>
                <w:szCs w:val="22"/>
              </w:rPr>
              <w:t>L</w:t>
            </w:r>
            <w:r w:rsidR="00C82571" w:rsidRPr="005C4FAE">
              <w:rPr>
                <w:rFonts w:ascii="Aptos" w:hAnsi="Aptos" w:cs="Arial"/>
                <w:sz w:val="22"/>
                <w:szCs w:val="22"/>
              </w:rPr>
              <w:t xml:space="preserve">’automobile reste </w:t>
            </w:r>
            <w:r w:rsidRPr="005C4FAE">
              <w:rPr>
                <w:rFonts w:ascii="Aptos" w:hAnsi="Aptos" w:cs="Arial"/>
                <w:sz w:val="22"/>
                <w:szCs w:val="22"/>
              </w:rPr>
              <w:t xml:space="preserve">le principal facteur de dégradation du </w:t>
            </w:r>
            <w:r w:rsidR="00CB5106">
              <w:rPr>
                <w:rFonts w:ascii="Aptos" w:hAnsi="Aptos" w:cs="Arial"/>
                <w:sz w:val="22"/>
                <w:szCs w:val="22"/>
              </w:rPr>
              <w:t xml:space="preserve">secteur : </w:t>
            </w:r>
            <w:r w:rsidR="0033688B">
              <w:rPr>
                <w:rFonts w:ascii="Aptos" w:hAnsi="Aptos" w:cs="Arial"/>
                <w:sz w:val="22"/>
                <w:szCs w:val="22"/>
              </w:rPr>
              <w:t>à la fois pour</w:t>
            </w:r>
            <w:r w:rsidR="00CB5106">
              <w:rPr>
                <w:rFonts w:ascii="Aptos" w:hAnsi="Aptos" w:cs="Arial"/>
                <w:sz w:val="22"/>
                <w:szCs w:val="22"/>
              </w:rPr>
              <w:t xml:space="preserve"> le </w:t>
            </w:r>
            <w:r w:rsidR="00C82571" w:rsidRPr="00CB5106">
              <w:rPr>
                <w:rFonts w:ascii="Aptos" w:hAnsi="Aptos" w:cs="Arial"/>
                <w:b/>
                <w:bCs/>
                <w:color w:val="FF0000"/>
                <w:sz w:val="22"/>
                <w:szCs w:val="22"/>
              </w:rPr>
              <w:t>commerce</w:t>
            </w:r>
            <w:r w:rsidRPr="005C4FAE">
              <w:rPr>
                <w:rFonts w:ascii="Aptos" w:hAnsi="Aptos" w:cs="Arial"/>
                <w:b/>
                <w:bCs/>
                <w:color w:val="FF0000"/>
                <w:sz w:val="22"/>
                <w:szCs w:val="22"/>
              </w:rPr>
              <w:t xml:space="preserve"> de voitures</w:t>
            </w:r>
            <w:r w:rsidRPr="005C4FAE">
              <w:rPr>
                <w:rFonts w:ascii="Aptos" w:hAnsi="Aptos" w:cs="Arial"/>
                <w:color w:val="FF0000"/>
                <w:sz w:val="22"/>
                <w:szCs w:val="22"/>
              </w:rPr>
              <w:t xml:space="preserve"> </w:t>
            </w:r>
            <w:r w:rsidRPr="005C4FAE">
              <w:rPr>
                <w:rFonts w:ascii="Aptos" w:hAnsi="Aptos" w:cs="Arial"/>
                <w:sz w:val="22"/>
                <w:szCs w:val="22"/>
              </w:rPr>
              <w:t xml:space="preserve">(+11%) et </w:t>
            </w:r>
            <w:r w:rsidRPr="005C4FAE">
              <w:rPr>
                <w:rFonts w:ascii="Aptos" w:hAnsi="Aptos" w:cs="Arial"/>
                <w:b/>
                <w:bCs/>
                <w:color w:val="FF0000"/>
                <w:sz w:val="22"/>
                <w:szCs w:val="22"/>
              </w:rPr>
              <w:t>l'entretien-réparation</w:t>
            </w:r>
            <w:r w:rsidRPr="005C4FAE">
              <w:rPr>
                <w:rFonts w:ascii="Aptos" w:hAnsi="Aptos" w:cs="Arial"/>
                <w:color w:val="FF0000"/>
                <w:sz w:val="22"/>
                <w:szCs w:val="22"/>
              </w:rPr>
              <w:t xml:space="preserve"> </w:t>
            </w:r>
            <w:r w:rsidRPr="005C4FAE">
              <w:rPr>
                <w:rFonts w:ascii="Aptos" w:hAnsi="Aptos" w:cs="Arial"/>
                <w:sz w:val="22"/>
                <w:szCs w:val="22"/>
              </w:rPr>
              <w:t>automobile</w:t>
            </w:r>
            <w:r w:rsidR="0033688B">
              <w:rPr>
                <w:rFonts w:ascii="Aptos" w:hAnsi="Aptos" w:cs="Arial"/>
                <w:sz w:val="22"/>
                <w:szCs w:val="22"/>
              </w:rPr>
              <w:t xml:space="preserve"> (+ 28 %)</w:t>
            </w:r>
            <w:r w:rsidR="00C82571" w:rsidRPr="005C4FAE">
              <w:rPr>
                <w:rFonts w:ascii="Aptos" w:hAnsi="Aptos" w:cs="Arial"/>
                <w:sz w:val="22"/>
                <w:szCs w:val="22"/>
              </w:rPr>
              <w:t>.</w:t>
            </w:r>
          </w:p>
          <w:p w14:paraId="00C18733" w14:textId="77777777" w:rsidR="00624F7B" w:rsidRPr="005C4FAE" w:rsidRDefault="00624F7B" w:rsidP="00B42955">
            <w:pPr>
              <w:spacing w:line="240" w:lineRule="auto"/>
              <w:jc w:val="both"/>
              <w:rPr>
                <w:rFonts w:ascii="Aptos" w:hAnsi="Aptos" w:cs="Arial"/>
                <w:sz w:val="22"/>
                <w:szCs w:val="22"/>
              </w:rPr>
            </w:pPr>
          </w:p>
          <w:p w14:paraId="63B66942" w14:textId="1F5920BE" w:rsidR="00E37CBD" w:rsidRDefault="00F90D98" w:rsidP="00B42955">
            <w:pPr>
              <w:spacing w:line="240" w:lineRule="auto"/>
              <w:jc w:val="both"/>
              <w:rPr>
                <w:rFonts w:ascii="Aptos" w:hAnsi="Aptos"/>
                <w:sz w:val="22"/>
                <w:szCs w:val="22"/>
              </w:rPr>
            </w:pPr>
            <w:r w:rsidRPr="005C4FAE">
              <w:rPr>
                <w:rFonts w:ascii="Aptos" w:hAnsi="Aptos" w:cs="Arial"/>
                <w:sz w:val="22"/>
                <w:szCs w:val="22"/>
              </w:rPr>
              <w:t>L</w:t>
            </w:r>
            <w:r w:rsidR="00624F7B" w:rsidRPr="005C4FAE">
              <w:rPr>
                <w:rFonts w:ascii="Aptos" w:hAnsi="Aptos" w:cs="Arial"/>
                <w:sz w:val="22"/>
                <w:szCs w:val="22"/>
              </w:rPr>
              <w:t xml:space="preserve">e </w:t>
            </w:r>
            <w:r w:rsidR="00624F7B" w:rsidRPr="00F74E0A">
              <w:rPr>
                <w:rFonts w:ascii="Aptos" w:hAnsi="Aptos" w:cs="Arial"/>
                <w:b/>
                <w:bCs/>
                <w:color w:val="00B050"/>
                <w:sz w:val="22"/>
                <w:szCs w:val="22"/>
              </w:rPr>
              <w:t>commerce de détail</w:t>
            </w:r>
            <w:r w:rsidR="00624F7B" w:rsidRPr="005C4FAE">
              <w:rPr>
                <w:rFonts w:ascii="Aptos" w:hAnsi="Aptos" w:cs="Arial"/>
                <w:sz w:val="22"/>
                <w:szCs w:val="22"/>
              </w:rPr>
              <w:t xml:space="preserve"> </w:t>
            </w:r>
            <w:r w:rsidR="00F74E0A" w:rsidRPr="005C4FAE">
              <w:rPr>
                <w:rFonts w:ascii="Aptos" w:hAnsi="Aptos" w:cs="Arial"/>
                <w:sz w:val="22"/>
                <w:szCs w:val="22"/>
              </w:rPr>
              <w:t xml:space="preserve">(1950 ; -1%) </w:t>
            </w:r>
            <w:r w:rsidR="00624F7B" w:rsidRPr="005C4FAE">
              <w:rPr>
                <w:rFonts w:ascii="Aptos" w:hAnsi="Aptos" w:cs="Arial"/>
                <w:sz w:val="22"/>
                <w:szCs w:val="22"/>
              </w:rPr>
              <w:t>montre des signes d'amélioration</w:t>
            </w:r>
            <w:r w:rsidR="00054915">
              <w:rPr>
                <w:rFonts w:ascii="Aptos" w:hAnsi="Aptos" w:cs="Arial"/>
                <w:sz w:val="22"/>
                <w:szCs w:val="22"/>
              </w:rPr>
              <w:t xml:space="preserve"> au global, avec </w:t>
            </w:r>
            <w:r w:rsidR="00606B3D">
              <w:rPr>
                <w:rFonts w:ascii="Aptos" w:hAnsi="Aptos" w:cs="Arial"/>
                <w:sz w:val="22"/>
                <w:szCs w:val="22"/>
              </w:rPr>
              <w:t xml:space="preserve">toutefois </w:t>
            </w:r>
            <w:r w:rsidR="00054915">
              <w:rPr>
                <w:rFonts w:ascii="Aptos" w:hAnsi="Aptos" w:cs="Arial"/>
                <w:sz w:val="22"/>
                <w:szCs w:val="22"/>
              </w:rPr>
              <w:t xml:space="preserve">des </w:t>
            </w:r>
            <w:r w:rsidR="00606B3D">
              <w:rPr>
                <w:rFonts w:ascii="Aptos" w:hAnsi="Aptos" w:cs="Arial"/>
                <w:sz w:val="22"/>
                <w:szCs w:val="22"/>
              </w:rPr>
              <w:t>dégradation</w:t>
            </w:r>
            <w:r w:rsidR="00233C8A">
              <w:rPr>
                <w:rFonts w:ascii="Aptos" w:hAnsi="Aptos" w:cs="Arial"/>
                <w:sz w:val="22"/>
                <w:szCs w:val="22"/>
              </w:rPr>
              <w:t>s</w:t>
            </w:r>
            <w:r w:rsidR="00054915">
              <w:rPr>
                <w:rFonts w:ascii="Aptos" w:hAnsi="Aptos" w:cs="Arial"/>
                <w:sz w:val="22"/>
                <w:szCs w:val="22"/>
              </w:rPr>
              <w:t xml:space="preserve"> sur plusieurs activités</w:t>
            </w:r>
            <w:r w:rsidR="00624F7B" w:rsidRPr="005C4FAE">
              <w:rPr>
                <w:rFonts w:ascii="Aptos" w:hAnsi="Aptos" w:cs="Arial"/>
                <w:sz w:val="22"/>
                <w:szCs w:val="22"/>
              </w:rPr>
              <w:t>.</w:t>
            </w:r>
            <w:r w:rsidR="000B7BAC" w:rsidRPr="005C4FAE">
              <w:rPr>
                <w:rFonts w:ascii="Aptos" w:hAnsi="Aptos"/>
                <w:sz w:val="22"/>
                <w:szCs w:val="22"/>
              </w:rPr>
              <w:t xml:space="preserve"> </w:t>
            </w:r>
            <w:r w:rsidR="00054915">
              <w:rPr>
                <w:rFonts w:ascii="Aptos" w:hAnsi="Aptos"/>
                <w:sz w:val="22"/>
                <w:szCs w:val="22"/>
              </w:rPr>
              <w:t xml:space="preserve">Les tensions </w:t>
            </w:r>
            <w:r w:rsidR="00233C8A">
              <w:rPr>
                <w:rFonts w:ascii="Aptos" w:hAnsi="Aptos"/>
                <w:sz w:val="22"/>
                <w:szCs w:val="22"/>
              </w:rPr>
              <w:t>sont</w:t>
            </w:r>
            <w:r w:rsidR="00054915">
              <w:rPr>
                <w:rFonts w:ascii="Aptos" w:hAnsi="Aptos"/>
                <w:sz w:val="22"/>
                <w:szCs w:val="22"/>
              </w:rPr>
              <w:t xml:space="preserve"> fortes pour l</w:t>
            </w:r>
            <w:r w:rsidR="00A65AB6" w:rsidRPr="005C4FAE">
              <w:rPr>
                <w:rFonts w:ascii="Aptos" w:hAnsi="Aptos" w:cs="Arial"/>
                <w:sz w:val="22"/>
                <w:szCs w:val="22"/>
              </w:rPr>
              <w:t>e</w:t>
            </w:r>
            <w:r w:rsidR="00054915">
              <w:rPr>
                <w:rFonts w:ascii="Aptos" w:hAnsi="Aptos" w:cs="Arial"/>
                <w:sz w:val="22"/>
                <w:szCs w:val="22"/>
              </w:rPr>
              <w:t>s</w:t>
            </w:r>
            <w:r w:rsidR="00A65AB6" w:rsidRPr="005C4FAE">
              <w:rPr>
                <w:rFonts w:ascii="Aptos" w:hAnsi="Aptos" w:cs="Arial"/>
                <w:sz w:val="22"/>
                <w:szCs w:val="22"/>
              </w:rPr>
              <w:t xml:space="preserve"> </w:t>
            </w:r>
            <w:r w:rsidR="000B7BAC" w:rsidRPr="005C4FAE">
              <w:rPr>
                <w:rFonts w:ascii="Aptos" w:hAnsi="Aptos" w:cs="Arial"/>
                <w:sz w:val="22"/>
                <w:szCs w:val="22"/>
              </w:rPr>
              <w:t>magasins multi-rayons</w:t>
            </w:r>
            <w:r w:rsidR="00054915">
              <w:rPr>
                <w:rFonts w:ascii="Aptos" w:hAnsi="Aptos" w:cs="Arial"/>
                <w:sz w:val="22"/>
                <w:szCs w:val="22"/>
              </w:rPr>
              <w:t xml:space="preserve"> (+ 3 %), </w:t>
            </w:r>
            <w:r w:rsidR="00A65AB6" w:rsidRPr="005C4FAE">
              <w:rPr>
                <w:rFonts w:ascii="Aptos" w:hAnsi="Aptos" w:cs="Arial"/>
                <w:sz w:val="22"/>
                <w:szCs w:val="22"/>
              </w:rPr>
              <w:t xml:space="preserve">tirés par les </w:t>
            </w:r>
            <w:r w:rsidR="00A65AB6" w:rsidRPr="005C4FAE">
              <w:rPr>
                <w:rFonts w:ascii="Aptos" w:hAnsi="Aptos" w:cs="Arial"/>
                <w:b/>
                <w:bCs/>
                <w:color w:val="FF0000"/>
                <w:sz w:val="22"/>
                <w:szCs w:val="22"/>
              </w:rPr>
              <w:t>épiceries</w:t>
            </w:r>
            <w:r w:rsidR="00054915">
              <w:rPr>
                <w:rFonts w:ascii="Aptos" w:hAnsi="Aptos" w:cs="Arial"/>
                <w:sz w:val="22"/>
                <w:szCs w:val="22"/>
              </w:rPr>
              <w:t xml:space="preserve"> (+5 %). </w:t>
            </w:r>
            <w:r w:rsidR="00A65AB6" w:rsidRPr="005C4FAE">
              <w:rPr>
                <w:rFonts w:ascii="Aptos" w:hAnsi="Aptos" w:cs="Arial"/>
                <w:sz w:val="22"/>
                <w:szCs w:val="22"/>
              </w:rPr>
              <w:t>L</w:t>
            </w:r>
            <w:r w:rsidR="000B7BAC" w:rsidRPr="005C4FAE">
              <w:rPr>
                <w:rFonts w:ascii="Aptos" w:hAnsi="Aptos" w:cs="Arial"/>
                <w:sz w:val="22"/>
                <w:szCs w:val="22"/>
              </w:rPr>
              <w:t>e détail alimentaire (+5,2 %)</w:t>
            </w:r>
            <w:r w:rsidR="00A65AB6" w:rsidRPr="005C4FAE">
              <w:rPr>
                <w:rFonts w:ascii="Aptos" w:hAnsi="Aptos" w:cs="Arial"/>
                <w:sz w:val="22"/>
                <w:szCs w:val="22"/>
              </w:rPr>
              <w:t xml:space="preserve"> reste fragile en </w:t>
            </w:r>
            <w:r w:rsidR="00A65AB6" w:rsidRPr="005C4FAE">
              <w:rPr>
                <w:rFonts w:ascii="Aptos" w:hAnsi="Aptos" w:cs="Arial"/>
                <w:b/>
                <w:bCs/>
                <w:color w:val="FF0000"/>
                <w:sz w:val="22"/>
                <w:szCs w:val="22"/>
              </w:rPr>
              <w:t>boucherie</w:t>
            </w:r>
            <w:r w:rsidR="00A65AB6" w:rsidRPr="005C4FAE">
              <w:rPr>
                <w:rFonts w:ascii="Aptos" w:hAnsi="Aptos" w:cs="Arial"/>
                <w:color w:val="FF0000"/>
                <w:sz w:val="22"/>
                <w:szCs w:val="22"/>
              </w:rPr>
              <w:t xml:space="preserve"> </w:t>
            </w:r>
            <w:r w:rsidR="00A65AB6" w:rsidRPr="005C4FAE">
              <w:rPr>
                <w:rFonts w:ascii="Aptos" w:hAnsi="Aptos" w:cs="Arial"/>
                <w:sz w:val="22"/>
                <w:szCs w:val="22"/>
              </w:rPr>
              <w:t xml:space="preserve">(+18%) qui repasse </w:t>
            </w:r>
            <w:r w:rsidR="00471EB6" w:rsidRPr="005C4FAE">
              <w:rPr>
                <w:rFonts w:ascii="Aptos" w:hAnsi="Aptos" w:cs="Arial"/>
                <w:sz w:val="22"/>
                <w:szCs w:val="22"/>
              </w:rPr>
              <w:t xml:space="preserve">comme en 2024 </w:t>
            </w:r>
            <w:r w:rsidR="00A65AB6" w:rsidRPr="005C4FAE">
              <w:rPr>
                <w:rFonts w:ascii="Aptos" w:hAnsi="Aptos" w:cs="Arial"/>
                <w:sz w:val="22"/>
                <w:szCs w:val="22"/>
              </w:rPr>
              <w:t xml:space="preserve">la barre des 100 </w:t>
            </w:r>
            <w:r w:rsidR="00471EB6" w:rsidRPr="005C4FAE">
              <w:rPr>
                <w:rFonts w:ascii="Aptos" w:hAnsi="Aptos" w:cs="Arial"/>
                <w:sz w:val="22"/>
                <w:szCs w:val="22"/>
              </w:rPr>
              <w:t xml:space="preserve">procédures. Le </w:t>
            </w:r>
            <w:r w:rsidR="00471EB6" w:rsidRPr="009741F3">
              <w:rPr>
                <w:rFonts w:ascii="Aptos" w:hAnsi="Aptos" w:cs="Arial"/>
                <w:b/>
                <w:bCs/>
                <w:color w:val="FF0000"/>
                <w:sz w:val="22"/>
                <w:szCs w:val="22"/>
              </w:rPr>
              <w:t>sport et loisirs</w:t>
            </w:r>
            <w:r w:rsidR="00471EB6" w:rsidRPr="005C4FAE">
              <w:rPr>
                <w:rFonts w:ascii="Aptos" w:hAnsi="Aptos" w:cs="Arial"/>
                <w:sz w:val="22"/>
                <w:szCs w:val="22"/>
              </w:rPr>
              <w:t xml:space="preserve"> enregistre une forte hausse de 17 %, </w:t>
            </w:r>
            <w:r w:rsidR="009741F3">
              <w:rPr>
                <w:rFonts w:ascii="Aptos" w:hAnsi="Aptos" w:cs="Arial"/>
                <w:sz w:val="22"/>
                <w:szCs w:val="22"/>
              </w:rPr>
              <w:t>et en particulier pour</w:t>
            </w:r>
            <w:r w:rsidR="00471EB6" w:rsidRPr="005C4FAE">
              <w:rPr>
                <w:rFonts w:ascii="Aptos" w:hAnsi="Aptos" w:cs="Arial"/>
                <w:sz w:val="22"/>
                <w:szCs w:val="22"/>
              </w:rPr>
              <w:t xml:space="preserve"> les </w:t>
            </w:r>
            <w:r w:rsidR="00471EB6" w:rsidRPr="005C4FAE">
              <w:rPr>
                <w:rFonts w:ascii="Aptos" w:hAnsi="Aptos" w:cs="Arial"/>
                <w:b/>
                <w:bCs/>
                <w:color w:val="FF0000"/>
                <w:sz w:val="22"/>
                <w:szCs w:val="22"/>
              </w:rPr>
              <w:t>magasins de sport</w:t>
            </w:r>
            <w:r w:rsidR="00471EB6" w:rsidRPr="005C4FAE">
              <w:rPr>
                <w:rFonts w:ascii="Aptos" w:hAnsi="Aptos" w:cs="Arial"/>
                <w:color w:val="FF0000"/>
                <w:sz w:val="22"/>
                <w:szCs w:val="22"/>
              </w:rPr>
              <w:t xml:space="preserve"> </w:t>
            </w:r>
            <w:r w:rsidR="00471EB6" w:rsidRPr="005C4FAE">
              <w:rPr>
                <w:rFonts w:ascii="Aptos" w:hAnsi="Aptos" w:cs="Arial"/>
                <w:sz w:val="22"/>
                <w:szCs w:val="22"/>
              </w:rPr>
              <w:t>(+16</w:t>
            </w:r>
            <w:r w:rsidR="00E37CBD">
              <w:rPr>
                <w:rFonts w:ascii="Aptos" w:hAnsi="Aptos" w:cs="Arial"/>
                <w:sz w:val="22"/>
                <w:szCs w:val="22"/>
              </w:rPr>
              <w:t xml:space="preserve"> </w:t>
            </w:r>
            <w:r w:rsidR="00471EB6" w:rsidRPr="005C4FAE">
              <w:rPr>
                <w:rFonts w:ascii="Aptos" w:hAnsi="Aptos" w:cs="Arial"/>
                <w:sz w:val="22"/>
                <w:szCs w:val="22"/>
              </w:rPr>
              <w:t>%)</w:t>
            </w:r>
            <w:r w:rsidR="00E37CBD">
              <w:rPr>
                <w:rFonts w:ascii="Aptos" w:hAnsi="Aptos" w:cs="Arial"/>
                <w:sz w:val="22"/>
                <w:szCs w:val="22"/>
              </w:rPr>
              <w:t xml:space="preserve">. Les </w:t>
            </w:r>
            <w:r w:rsidR="000D1ABA" w:rsidRPr="005C4FAE">
              <w:rPr>
                <w:rFonts w:ascii="Aptos" w:hAnsi="Aptos" w:cs="Arial"/>
                <w:sz w:val="22"/>
                <w:szCs w:val="22"/>
              </w:rPr>
              <w:t xml:space="preserve">défaillances </w:t>
            </w:r>
            <w:r w:rsidR="00E37CBD">
              <w:rPr>
                <w:rFonts w:ascii="Aptos" w:hAnsi="Aptos" w:cs="Arial"/>
                <w:sz w:val="22"/>
                <w:szCs w:val="22"/>
              </w:rPr>
              <w:t>flambent</w:t>
            </w:r>
            <w:r w:rsidR="000D1ABA" w:rsidRPr="005C4FAE">
              <w:rPr>
                <w:rFonts w:ascii="Aptos" w:hAnsi="Aptos" w:cs="Arial"/>
                <w:sz w:val="22"/>
                <w:szCs w:val="22"/>
              </w:rPr>
              <w:t xml:space="preserve"> pour les </w:t>
            </w:r>
            <w:r w:rsidR="000D1ABA" w:rsidRPr="005C4FAE">
              <w:rPr>
                <w:rFonts w:ascii="Aptos" w:hAnsi="Aptos" w:cs="Arial"/>
                <w:b/>
                <w:bCs/>
                <w:color w:val="FF0000"/>
                <w:sz w:val="22"/>
                <w:szCs w:val="22"/>
              </w:rPr>
              <w:t>librairies</w:t>
            </w:r>
            <w:r w:rsidR="000D1ABA" w:rsidRPr="005C4FAE">
              <w:rPr>
                <w:rFonts w:ascii="Aptos" w:hAnsi="Aptos" w:cs="Arial"/>
                <w:color w:val="FF0000"/>
                <w:sz w:val="22"/>
                <w:szCs w:val="22"/>
              </w:rPr>
              <w:t xml:space="preserve"> </w:t>
            </w:r>
            <w:r w:rsidR="000D1ABA" w:rsidRPr="005C4FAE">
              <w:rPr>
                <w:rFonts w:ascii="Aptos" w:hAnsi="Aptos" w:cs="Arial"/>
                <w:sz w:val="22"/>
                <w:szCs w:val="22"/>
              </w:rPr>
              <w:t>(+58</w:t>
            </w:r>
            <w:r w:rsidR="00E37CBD">
              <w:rPr>
                <w:rFonts w:ascii="Aptos" w:hAnsi="Aptos" w:cs="Arial"/>
                <w:sz w:val="22"/>
                <w:szCs w:val="22"/>
              </w:rPr>
              <w:t xml:space="preserve"> </w:t>
            </w:r>
            <w:r w:rsidR="000D1ABA" w:rsidRPr="005C4FAE">
              <w:rPr>
                <w:rFonts w:ascii="Aptos" w:hAnsi="Aptos" w:cs="Arial"/>
                <w:sz w:val="22"/>
                <w:szCs w:val="22"/>
              </w:rPr>
              <w:t>%).</w:t>
            </w:r>
            <w:r w:rsidR="00C444A7" w:rsidRPr="005C4FAE">
              <w:rPr>
                <w:rFonts w:ascii="Aptos" w:hAnsi="Aptos"/>
                <w:sz w:val="22"/>
                <w:szCs w:val="22"/>
              </w:rPr>
              <w:t xml:space="preserve"> </w:t>
            </w:r>
          </w:p>
          <w:p w14:paraId="16BD01FB" w14:textId="77777777" w:rsidR="00606B3D" w:rsidRDefault="00C444A7" w:rsidP="00B42955">
            <w:pPr>
              <w:spacing w:line="240" w:lineRule="auto"/>
              <w:jc w:val="both"/>
              <w:rPr>
                <w:rFonts w:ascii="Aptos" w:hAnsi="Aptos" w:cs="Arial"/>
                <w:sz w:val="22"/>
                <w:szCs w:val="22"/>
              </w:rPr>
            </w:pPr>
            <w:r w:rsidRPr="005C4FAE">
              <w:rPr>
                <w:rFonts w:ascii="Aptos" w:hAnsi="Aptos" w:cs="Arial"/>
                <w:sz w:val="22"/>
                <w:szCs w:val="22"/>
              </w:rPr>
              <w:t xml:space="preserve">À l’inverse, </w:t>
            </w:r>
            <w:r w:rsidR="00E37CBD">
              <w:rPr>
                <w:rFonts w:ascii="Aptos" w:hAnsi="Aptos" w:cs="Arial"/>
                <w:sz w:val="22"/>
                <w:szCs w:val="22"/>
              </w:rPr>
              <w:t xml:space="preserve">la situation s’améliore pour les commerces </w:t>
            </w:r>
            <w:r w:rsidRPr="005C4FAE">
              <w:rPr>
                <w:rFonts w:ascii="Aptos" w:hAnsi="Aptos" w:cs="Arial"/>
                <w:sz w:val="22"/>
                <w:szCs w:val="22"/>
              </w:rPr>
              <w:t xml:space="preserve">de </w:t>
            </w:r>
            <w:r w:rsidRPr="005C4FAE">
              <w:rPr>
                <w:rFonts w:ascii="Aptos" w:hAnsi="Aptos" w:cs="Arial"/>
                <w:b/>
                <w:bCs/>
                <w:color w:val="00B050"/>
                <w:sz w:val="22"/>
                <w:szCs w:val="22"/>
              </w:rPr>
              <w:t xml:space="preserve">soin de la personne </w:t>
            </w:r>
            <w:r w:rsidRPr="00E37CBD">
              <w:rPr>
                <w:rFonts w:ascii="Aptos" w:hAnsi="Aptos" w:cs="Arial"/>
                <w:b/>
                <w:bCs/>
                <w:color w:val="00B050"/>
                <w:sz w:val="22"/>
                <w:szCs w:val="22"/>
              </w:rPr>
              <w:t>et</w:t>
            </w:r>
            <w:r w:rsidRPr="005C4FAE">
              <w:rPr>
                <w:rFonts w:ascii="Aptos" w:hAnsi="Aptos" w:cs="Arial"/>
                <w:sz w:val="22"/>
                <w:szCs w:val="22"/>
              </w:rPr>
              <w:t xml:space="preserve"> </w:t>
            </w:r>
            <w:r w:rsidRPr="005C4FAE">
              <w:rPr>
                <w:rFonts w:ascii="Aptos" w:hAnsi="Aptos" w:cs="Arial"/>
                <w:b/>
                <w:bCs/>
                <w:color w:val="00B050"/>
                <w:sz w:val="22"/>
                <w:szCs w:val="22"/>
              </w:rPr>
              <w:t>optique</w:t>
            </w:r>
            <w:r w:rsidRPr="005C4FAE">
              <w:rPr>
                <w:rFonts w:ascii="Aptos" w:hAnsi="Aptos" w:cs="Arial"/>
                <w:sz w:val="22"/>
                <w:szCs w:val="22"/>
              </w:rPr>
              <w:t xml:space="preserve"> (-5,3 %)</w:t>
            </w:r>
            <w:r w:rsidR="00E37CBD">
              <w:rPr>
                <w:rFonts w:ascii="Aptos" w:hAnsi="Aptos" w:cs="Arial"/>
                <w:sz w:val="22"/>
                <w:szCs w:val="22"/>
              </w:rPr>
              <w:t>,</w:t>
            </w:r>
            <w:r w:rsidRPr="005C4FAE">
              <w:rPr>
                <w:rFonts w:ascii="Aptos" w:hAnsi="Aptos" w:cs="Arial"/>
                <w:sz w:val="22"/>
                <w:szCs w:val="22"/>
              </w:rPr>
              <w:t xml:space="preserve"> portés par la </w:t>
            </w:r>
            <w:r w:rsidRPr="005C4FAE">
              <w:rPr>
                <w:rFonts w:ascii="Aptos" w:hAnsi="Aptos" w:cs="Arial"/>
                <w:b/>
                <w:bCs/>
                <w:color w:val="00B050"/>
                <w:sz w:val="22"/>
                <w:szCs w:val="22"/>
              </w:rPr>
              <w:t>parfumerie</w:t>
            </w:r>
            <w:r w:rsidRPr="005C4FAE">
              <w:rPr>
                <w:rFonts w:ascii="Aptos" w:hAnsi="Aptos" w:cs="Arial"/>
                <w:color w:val="00B050"/>
                <w:sz w:val="22"/>
                <w:szCs w:val="22"/>
              </w:rPr>
              <w:t xml:space="preserve"> </w:t>
            </w:r>
            <w:r w:rsidRPr="005C4FAE">
              <w:rPr>
                <w:rFonts w:ascii="Aptos" w:hAnsi="Aptos" w:cs="Arial"/>
                <w:sz w:val="22"/>
                <w:szCs w:val="22"/>
              </w:rPr>
              <w:t>(-7%)</w:t>
            </w:r>
            <w:r w:rsidR="00E37CBD">
              <w:rPr>
                <w:rFonts w:ascii="Aptos" w:hAnsi="Aptos" w:cs="Arial"/>
                <w:sz w:val="22"/>
                <w:szCs w:val="22"/>
              </w:rPr>
              <w:t> ;</w:t>
            </w:r>
            <w:r w:rsidRPr="005C4FAE">
              <w:rPr>
                <w:rFonts w:ascii="Aptos" w:hAnsi="Aptos" w:cs="Arial"/>
                <w:sz w:val="22"/>
                <w:szCs w:val="22"/>
              </w:rPr>
              <w:t xml:space="preserve"> </w:t>
            </w:r>
            <w:r w:rsidRPr="005C4FAE">
              <w:rPr>
                <w:rFonts w:ascii="Aptos" w:hAnsi="Aptos" w:cs="Arial"/>
                <w:b/>
                <w:bCs/>
                <w:color w:val="FF0000"/>
                <w:sz w:val="22"/>
                <w:szCs w:val="22"/>
              </w:rPr>
              <w:t>l’optique</w:t>
            </w:r>
            <w:r w:rsidRPr="005C4FAE">
              <w:rPr>
                <w:rFonts w:ascii="Aptos" w:hAnsi="Aptos" w:cs="Arial"/>
                <w:color w:val="FF0000"/>
                <w:sz w:val="22"/>
                <w:szCs w:val="22"/>
              </w:rPr>
              <w:t xml:space="preserve"> </w:t>
            </w:r>
            <w:r w:rsidRPr="005C4FAE">
              <w:rPr>
                <w:rFonts w:ascii="Aptos" w:hAnsi="Aptos" w:cs="Arial"/>
                <w:sz w:val="22"/>
                <w:szCs w:val="22"/>
              </w:rPr>
              <w:t xml:space="preserve">décroche de 6% et la </w:t>
            </w:r>
            <w:r w:rsidRPr="005C4FAE">
              <w:rPr>
                <w:rFonts w:ascii="Aptos" w:hAnsi="Aptos" w:cs="Arial"/>
                <w:b/>
                <w:bCs/>
                <w:color w:val="FF0000"/>
                <w:sz w:val="22"/>
                <w:szCs w:val="22"/>
              </w:rPr>
              <w:t>pharmacie</w:t>
            </w:r>
            <w:r w:rsidRPr="005C4FAE">
              <w:rPr>
                <w:rFonts w:ascii="Aptos" w:hAnsi="Aptos" w:cs="Arial"/>
                <w:color w:val="FF0000"/>
                <w:sz w:val="22"/>
                <w:szCs w:val="22"/>
              </w:rPr>
              <w:t xml:space="preserve"> </w:t>
            </w:r>
            <w:r w:rsidRPr="005C4FAE">
              <w:rPr>
                <w:rFonts w:ascii="Aptos" w:hAnsi="Aptos" w:cs="Arial"/>
                <w:sz w:val="22"/>
                <w:szCs w:val="22"/>
              </w:rPr>
              <w:t xml:space="preserve">de 16%. </w:t>
            </w:r>
          </w:p>
          <w:p w14:paraId="73698D66" w14:textId="2B1BBB9F" w:rsidR="001C68DD" w:rsidRPr="005C4FAE" w:rsidRDefault="00606B3D" w:rsidP="00B42955">
            <w:pPr>
              <w:spacing w:line="240" w:lineRule="auto"/>
              <w:jc w:val="both"/>
              <w:rPr>
                <w:rFonts w:ascii="Aptos" w:hAnsi="Aptos" w:cs="Arial"/>
                <w:sz w:val="22"/>
                <w:szCs w:val="22"/>
              </w:rPr>
            </w:pPr>
            <w:r>
              <w:rPr>
                <w:rFonts w:ascii="Aptos" w:hAnsi="Aptos" w:cs="Arial"/>
                <w:sz w:val="22"/>
                <w:szCs w:val="22"/>
              </w:rPr>
              <w:t xml:space="preserve">Bonne nouvelle pour </w:t>
            </w:r>
            <w:r w:rsidR="001C68DD" w:rsidRPr="005C4FAE">
              <w:rPr>
                <w:rFonts w:ascii="Aptos" w:hAnsi="Aptos" w:cs="Arial"/>
                <w:sz w:val="22"/>
                <w:szCs w:val="22"/>
              </w:rPr>
              <w:t xml:space="preserve">le </w:t>
            </w:r>
            <w:r w:rsidR="001C68DD" w:rsidRPr="005C4FAE">
              <w:rPr>
                <w:rFonts w:ascii="Aptos" w:hAnsi="Aptos" w:cs="Arial"/>
                <w:b/>
                <w:bCs/>
                <w:color w:val="00B050"/>
                <w:sz w:val="22"/>
                <w:szCs w:val="22"/>
              </w:rPr>
              <w:t>bricolage et l’équipement</w:t>
            </w:r>
            <w:r w:rsidR="001C68DD" w:rsidRPr="005C4FAE">
              <w:rPr>
                <w:rFonts w:ascii="Aptos" w:hAnsi="Aptos" w:cs="Arial"/>
                <w:color w:val="00B050"/>
                <w:sz w:val="22"/>
                <w:szCs w:val="22"/>
              </w:rPr>
              <w:t xml:space="preserve"> </w:t>
            </w:r>
            <w:r w:rsidR="001C68DD" w:rsidRPr="005C4FAE">
              <w:rPr>
                <w:rFonts w:ascii="Aptos" w:hAnsi="Aptos" w:cs="Arial"/>
                <w:sz w:val="22"/>
                <w:szCs w:val="22"/>
              </w:rPr>
              <w:t xml:space="preserve">du foyer (-6%) notamment dans le </w:t>
            </w:r>
            <w:r w:rsidR="001C68DD" w:rsidRPr="005C4FAE">
              <w:rPr>
                <w:rFonts w:ascii="Aptos" w:hAnsi="Aptos" w:cs="Arial"/>
                <w:b/>
                <w:bCs/>
                <w:color w:val="00B050"/>
                <w:sz w:val="22"/>
                <w:szCs w:val="22"/>
              </w:rPr>
              <w:t>meuble</w:t>
            </w:r>
            <w:r w:rsidR="001C68DD" w:rsidRPr="005C4FAE">
              <w:rPr>
                <w:rFonts w:ascii="Aptos" w:hAnsi="Aptos" w:cs="Arial"/>
                <w:color w:val="00B050"/>
                <w:sz w:val="22"/>
                <w:szCs w:val="22"/>
              </w:rPr>
              <w:t xml:space="preserve"> </w:t>
            </w:r>
            <w:r w:rsidR="001C68DD" w:rsidRPr="005C4FAE">
              <w:rPr>
                <w:rFonts w:ascii="Aptos" w:hAnsi="Aptos" w:cs="Arial"/>
                <w:sz w:val="22"/>
                <w:szCs w:val="22"/>
              </w:rPr>
              <w:t xml:space="preserve">(-10%). Le commerce </w:t>
            </w:r>
            <w:r w:rsidR="001C68DD" w:rsidRPr="005C4FAE">
              <w:rPr>
                <w:rFonts w:ascii="Aptos" w:hAnsi="Aptos" w:cs="Arial"/>
                <w:b/>
                <w:bCs/>
                <w:color w:val="00B050"/>
                <w:sz w:val="22"/>
                <w:szCs w:val="22"/>
              </w:rPr>
              <w:t>d’habillement</w:t>
            </w:r>
            <w:r w:rsidR="001C68DD" w:rsidRPr="005C4FAE">
              <w:rPr>
                <w:rFonts w:ascii="Aptos" w:hAnsi="Aptos" w:cs="Arial"/>
                <w:color w:val="00B050"/>
                <w:sz w:val="22"/>
                <w:szCs w:val="22"/>
              </w:rPr>
              <w:t xml:space="preserve"> </w:t>
            </w:r>
            <w:r w:rsidR="001C68DD" w:rsidRPr="005C4FAE">
              <w:rPr>
                <w:rFonts w:ascii="Aptos" w:hAnsi="Aptos" w:cs="Arial"/>
                <w:sz w:val="22"/>
                <w:szCs w:val="22"/>
              </w:rPr>
              <w:t xml:space="preserve">signe </w:t>
            </w:r>
            <w:r>
              <w:rPr>
                <w:rFonts w:ascii="Aptos" w:hAnsi="Aptos" w:cs="Arial"/>
                <w:sz w:val="22"/>
                <w:szCs w:val="22"/>
              </w:rPr>
              <w:t xml:space="preserve">aussi </w:t>
            </w:r>
            <w:r w:rsidR="001C68DD" w:rsidRPr="005C4FAE">
              <w:rPr>
                <w:rFonts w:ascii="Aptos" w:hAnsi="Aptos" w:cs="Arial"/>
                <w:sz w:val="22"/>
                <w:szCs w:val="22"/>
              </w:rPr>
              <w:t xml:space="preserve">une </w:t>
            </w:r>
            <w:r>
              <w:rPr>
                <w:rFonts w:ascii="Aptos" w:hAnsi="Aptos" w:cs="Arial"/>
                <w:sz w:val="22"/>
                <w:szCs w:val="22"/>
              </w:rPr>
              <w:t>nette</w:t>
            </w:r>
            <w:r w:rsidR="001C68DD" w:rsidRPr="005C4FAE">
              <w:rPr>
                <w:rFonts w:ascii="Aptos" w:hAnsi="Aptos" w:cs="Arial"/>
                <w:sz w:val="22"/>
                <w:szCs w:val="22"/>
              </w:rPr>
              <w:t xml:space="preserve"> amélioration (-14%).</w:t>
            </w:r>
          </w:p>
          <w:p w14:paraId="21785A49" w14:textId="77777777" w:rsidR="00B42955" w:rsidRPr="005C4FAE" w:rsidRDefault="00B42955" w:rsidP="00B42955">
            <w:pPr>
              <w:spacing w:line="240" w:lineRule="auto"/>
              <w:jc w:val="both"/>
              <w:rPr>
                <w:rFonts w:ascii="Aptos" w:hAnsi="Aptos" w:cs="Arial"/>
                <w:sz w:val="22"/>
                <w:szCs w:val="22"/>
              </w:rPr>
            </w:pPr>
          </w:p>
          <w:p w14:paraId="782A7789" w14:textId="1B785D2C" w:rsidR="00611398" w:rsidRPr="005C4FAE" w:rsidRDefault="00611398" w:rsidP="00B42955">
            <w:pPr>
              <w:spacing w:line="240" w:lineRule="auto"/>
              <w:jc w:val="both"/>
              <w:rPr>
                <w:rFonts w:ascii="Aptos" w:hAnsi="Aptos" w:cs="Arial"/>
                <w:sz w:val="22"/>
                <w:szCs w:val="22"/>
              </w:rPr>
            </w:pPr>
            <w:r w:rsidRPr="005C4FAE">
              <w:rPr>
                <w:rFonts w:ascii="Aptos" w:hAnsi="Aptos" w:cs="Arial"/>
                <w:sz w:val="22"/>
                <w:szCs w:val="22"/>
              </w:rPr>
              <w:t xml:space="preserve">Du côté du commerce interentreprises, les évolutions sont </w:t>
            </w:r>
            <w:r w:rsidR="00FC3AB2" w:rsidRPr="005C4FAE">
              <w:rPr>
                <w:rFonts w:ascii="Aptos" w:hAnsi="Aptos" w:cs="Arial"/>
                <w:sz w:val="22"/>
                <w:szCs w:val="22"/>
              </w:rPr>
              <w:t xml:space="preserve">également très </w:t>
            </w:r>
            <w:r w:rsidRPr="005C4FAE">
              <w:rPr>
                <w:rFonts w:ascii="Aptos" w:hAnsi="Aptos" w:cs="Arial"/>
                <w:sz w:val="22"/>
                <w:szCs w:val="22"/>
              </w:rPr>
              <w:t xml:space="preserve">contrastées. </w:t>
            </w:r>
            <w:r w:rsidR="00FC3AB2" w:rsidRPr="005C4FAE">
              <w:rPr>
                <w:rFonts w:ascii="Aptos" w:hAnsi="Aptos" w:cs="Arial"/>
                <w:sz w:val="22"/>
                <w:szCs w:val="22"/>
              </w:rPr>
              <w:t>Si le nombre de défaillances recule dans</w:t>
            </w:r>
            <w:r w:rsidRPr="005C4FAE">
              <w:rPr>
                <w:rFonts w:ascii="Aptos" w:hAnsi="Aptos" w:cs="Arial"/>
                <w:sz w:val="22"/>
                <w:szCs w:val="22"/>
              </w:rPr>
              <w:t xml:space="preserve"> le </w:t>
            </w:r>
            <w:r w:rsidR="00FC3AB2" w:rsidRPr="005C4FAE">
              <w:rPr>
                <w:rFonts w:ascii="Aptos" w:hAnsi="Aptos" w:cs="Arial"/>
                <w:sz w:val="22"/>
                <w:szCs w:val="22"/>
              </w:rPr>
              <w:t>négoce</w:t>
            </w:r>
            <w:r w:rsidRPr="005C4FAE">
              <w:rPr>
                <w:rFonts w:ascii="Aptos" w:hAnsi="Aptos" w:cs="Arial"/>
                <w:sz w:val="22"/>
                <w:szCs w:val="22"/>
              </w:rPr>
              <w:t xml:space="preserve"> </w:t>
            </w:r>
            <w:r w:rsidRPr="005C4FAE">
              <w:rPr>
                <w:rFonts w:ascii="Aptos" w:hAnsi="Aptos" w:cs="Arial"/>
                <w:b/>
                <w:bCs/>
                <w:color w:val="00B050"/>
                <w:sz w:val="22"/>
                <w:szCs w:val="22"/>
              </w:rPr>
              <w:t>alimentaire</w:t>
            </w:r>
            <w:r w:rsidRPr="005C4FAE">
              <w:rPr>
                <w:rFonts w:ascii="Aptos" w:hAnsi="Aptos" w:cs="Arial"/>
                <w:color w:val="00B050"/>
                <w:sz w:val="22"/>
                <w:szCs w:val="22"/>
              </w:rPr>
              <w:t xml:space="preserve"> </w:t>
            </w:r>
            <w:r w:rsidRPr="005C4FAE">
              <w:rPr>
                <w:rFonts w:ascii="Aptos" w:hAnsi="Aptos" w:cs="Arial"/>
                <w:sz w:val="22"/>
                <w:szCs w:val="22"/>
              </w:rPr>
              <w:t>(</w:t>
            </w:r>
            <w:r w:rsidR="00553E41" w:rsidRPr="005C4FAE">
              <w:rPr>
                <w:rFonts w:ascii="Aptos" w:hAnsi="Aptos" w:cs="Arial"/>
                <w:sz w:val="22"/>
                <w:szCs w:val="22"/>
              </w:rPr>
              <w:t xml:space="preserve">- </w:t>
            </w:r>
            <w:r w:rsidRPr="005C4FAE">
              <w:rPr>
                <w:rFonts w:ascii="Aptos" w:hAnsi="Aptos" w:cs="Arial"/>
                <w:sz w:val="22"/>
                <w:szCs w:val="22"/>
              </w:rPr>
              <w:t xml:space="preserve">10 %) et les </w:t>
            </w:r>
            <w:r w:rsidRPr="005C4FAE">
              <w:rPr>
                <w:rFonts w:ascii="Aptos" w:hAnsi="Aptos" w:cs="Arial"/>
                <w:b/>
                <w:bCs/>
                <w:color w:val="00B050"/>
                <w:sz w:val="22"/>
                <w:szCs w:val="22"/>
              </w:rPr>
              <w:t>matériaux de construction</w:t>
            </w:r>
            <w:r w:rsidRPr="005C4FAE">
              <w:rPr>
                <w:rFonts w:ascii="Aptos" w:hAnsi="Aptos" w:cs="Arial"/>
                <w:color w:val="00B050"/>
                <w:sz w:val="22"/>
                <w:szCs w:val="22"/>
              </w:rPr>
              <w:t xml:space="preserve"> </w:t>
            </w:r>
            <w:r w:rsidRPr="005C4FAE">
              <w:rPr>
                <w:rFonts w:ascii="Aptos" w:hAnsi="Aptos" w:cs="Arial"/>
                <w:sz w:val="22"/>
                <w:szCs w:val="22"/>
              </w:rPr>
              <w:t>(-2</w:t>
            </w:r>
            <w:r w:rsidR="00FC3AB2" w:rsidRPr="005C4FAE">
              <w:rPr>
                <w:rFonts w:ascii="Aptos" w:hAnsi="Aptos" w:cs="Arial"/>
                <w:sz w:val="22"/>
                <w:szCs w:val="22"/>
              </w:rPr>
              <w:t>2</w:t>
            </w:r>
            <w:r w:rsidRPr="005C4FAE">
              <w:rPr>
                <w:rFonts w:ascii="Aptos" w:hAnsi="Aptos" w:cs="Arial"/>
                <w:sz w:val="22"/>
                <w:szCs w:val="22"/>
              </w:rPr>
              <w:t xml:space="preserve"> %)</w:t>
            </w:r>
            <w:r w:rsidR="00FC3AB2" w:rsidRPr="005C4FAE">
              <w:rPr>
                <w:rFonts w:ascii="Aptos" w:hAnsi="Aptos" w:cs="Arial"/>
                <w:sz w:val="22"/>
                <w:szCs w:val="22"/>
              </w:rPr>
              <w:t xml:space="preserve">, il augmente </w:t>
            </w:r>
            <w:r w:rsidRPr="005C4FAE">
              <w:rPr>
                <w:rFonts w:ascii="Aptos" w:hAnsi="Aptos" w:cs="Arial"/>
                <w:sz w:val="22"/>
                <w:szCs w:val="22"/>
              </w:rPr>
              <w:t xml:space="preserve">dans le commerce de gros </w:t>
            </w:r>
            <w:r w:rsidR="00FC3AB2" w:rsidRPr="005C4FAE">
              <w:rPr>
                <w:rFonts w:ascii="Aptos" w:hAnsi="Aptos" w:cs="Arial"/>
                <w:b/>
                <w:bCs/>
                <w:color w:val="FF0000"/>
                <w:sz w:val="22"/>
                <w:szCs w:val="22"/>
              </w:rPr>
              <w:t>d’</w:t>
            </w:r>
            <w:r w:rsidRPr="005C4FAE">
              <w:rPr>
                <w:rFonts w:ascii="Aptos" w:hAnsi="Aptos" w:cs="Arial"/>
                <w:b/>
                <w:bCs/>
                <w:color w:val="FF0000"/>
                <w:sz w:val="22"/>
                <w:szCs w:val="22"/>
              </w:rPr>
              <w:t>habillement</w:t>
            </w:r>
            <w:r w:rsidRPr="005C4FAE">
              <w:rPr>
                <w:rFonts w:ascii="Aptos" w:hAnsi="Aptos" w:cs="Arial"/>
                <w:color w:val="FF0000"/>
                <w:sz w:val="22"/>
                <w:szCs w:val="22"/>
              </w:rPr>
              <w:t xml:space="preserve"> </w:t>
            </w:r>
            <w:r w:rsidRPr="005C4FAE">
              <w:rPr>
                <w:rFonts w:ascii="Aptos" w:hAnsi="Aptos" w:cs="Arial"/>
                <w:sz w:val="22"/>
                <w:szCs w:val="22"/>
              </w:rPr>
              <w:t>(+</w:t>
            </w:r>
            <w:r w:rsidR="00FC3AB2" w:rsidRPr="005C4FAE">
              <w:rPr>
                <w:rFonts w:ascii="Aptos" w:hAnsi="Aptos" w:cs="Arial"/>
                <w:sz w:val="22"/>
                <w:szCs w:val="22"/>
              </w:rPr>
              <w:t>30</w:t>
            </w:r>
            <w:r w:rsidRPr="005C4FAE">
              <w:rPr>
                <w:rFonts w:ascii="Aptos" w:hAnsi="Aptos" w:cs="Arial"/>
                <w:sz w:val="22"/>
                <w:szCs w:val="22"/>
              </w:rPr>
              <w:t xml:space="preserve"> %) </w:t>
            </w:r>
            <w:r w:rsidR="00A2186D">
              <w:rPr>
                <w:rFonts w:ascii="Aptos" w:hAnsi="Aptos" w:cs="Arial"/>
                <w:sz w:val="22"/>
                <w:szCs w:val="22"/>
              </w:rPr>
              <w:t>et</w:t>
            </w:r>
            <w:r w:rsidRPr="005C4FAE">
              <w:rPr>
                <w:rFonts w:ascii="Aptos" w:hAnsi="Aptos" w:cs="Arial"/>
                <w:sz w:val="22"/>
                <w:szCs w:val="22"/>
              </w:rPr>
              <w:t xml:space="preserve"> les </w:t>
            </w:r>
            <w:r w:rsidRPr="005C4FAE">
              <w:rPr>
                <w:rFonts w:ascii="Aptos" w:hAnsi="Aptos" w:cs="Arial"/>
                <w:b/>
                <w:bCs/>
                <w:color w:val="FF0000"/>
                <w:sz w:val="22"/>
                <w:szCs w:val="22"/>
              </w:rPr>
              <w:t>machines et équipements</w:t>
            </w:r>
            <w:r w:rsidRPr="005C4FAE">
              <w:rPr>
                <w:rFonts w:ascii="Aptos" w:hAnsi="Aptos" w:cs="Arial"/>
                <w:color w:val="FF0000"/>
                <w:sz w:val="22"/>
                <w:szCs w:val="22"/>
              </w:rPr>
              <w:t xml:space="preserve"> </w:t>
            </w:r>
            <w:r w:rsidRPr="005C4FAE">
              <w:rPr>
                <w:rFonts w:ascii="Aptos" w:hAnsi="Aptos" w:cs="Arial"/>
                <w:sz w:val="22"/>
                <w:szCs w:val="22"/>
              </w:rPr>
              <w:t>(+1</w:t>
            </w:r>
            <w:r w:rsidR="00FC3AB2" w:rsidRPr="005C4FAE">
              <w:rPr>
                <w:rFonts w:ascii="Aptos" w:hAnsi="Aptos" w:cs="Arial"/>
                <w:sz w:val="22"/>
                <w:szCs w:val="22"/>
              </w:rPr>
              <w:t>8</w:t>
            </w:r>
            <w:r w:rsidRPr="005C4FAE">
              <w:rPr>
                <w:rFonts w:ascii="Aptos" w:hAnsi="Aptos" w:cs="Arial"/>
                <w:sz w:val="22"/>
                <w:szCs w:val="22"/>
              </w:rPr>
              <w:t xml:space="preserve"> %)</w:t>
            </w:r>
            <w:r w:rsidR="00FC3AB2" w:rsidRPr="005C4FAE">
              <w:rPr>
                <w:rFonts w:ascii="Aptos" w:hAnsi="Aptos" w:cs="Arial"/>
                <w:sz w:val="22"/>
                <w:szCs w:val="22"/>
              </w:rPr>
              <w:t>.</w:t>
            </w:r>
          </w:p>
          <w:p w14:paraId="69104512" w14:textId="77777777" w:rsidR="00611398" w:rsidRPr="00260823" w:rsidRDefault="00611398" w:rsidP="00B42955">
            <w:pPr>
              <w:spacing w:line="240" w:lineRule="auto"/>
              <w:jc w:val="both"/>
              <w:rPr>
                <w:rFonts w:ascii="Aptos" w:hAnsi="Aptos" w:cs="Arial"/>
                <w:sz w:val="20"/>
                <w:szCs w:val="20"/>
              </w:rPr>
            </w:pPr>
          </w:p>
          <w:p w14:paraId="3AE9FC48" w14:textId="77777777" w:rsidR="00611398" w:rsidRPr="00260823" w:rsidRDefault="00611398" w:rsidP="00B42955">
            <w:pPr>
              <w:spacing w:line="240" w:lineRule="auto"/>
              <w:jc w:val="both"/>
              <w:rPr>
                <w:rFonts w:ascii="Aptos" w:hAnsi="Aptos" w:cs="Arial"/>
                <w:sz w:val="20"/>
                <w:szCs w:val="20"/>
              </w:rPr>
            </w:pPr>
          </w:p>
          <w:p w14:paraId="12E92D2C" w14:textId="492FC271" w:rsidR="007E4978" w:rsidRPr="00260823" w:rsidRDefault="00C07846" w:rsidP="00C55D4F">
            <w:pPr>
              <w:pStyle w:val="Paragraphedeliste"/>
              <w:numPr>
                <w:ilvl w:val="0"/>
                <w:numId w:val="6"/>
              </w:numPr>
              <w:spacing w:line="240" w:lineRule="auto"/>
              <w:jc w:val="both"/>
              <w:rPr>
                <w:rFonts w:ascii="Aptos" w:hAnsi="Aptos"/>
                <w:sz w:val="28"/>
                <w:szCs w:val="28"/>
              </w:rPr>
            </w:pPr>
            <w:r>
              <w:rPr>
                <w:rFonts w:ascii="Aptos" w:hAnsi="Aptos" w:cs="Arial"/>
                <w:b/>
                <w:bCs/>
              </w:rPr>
              <w:t>Industrie</w:t>
            </w:r>
            <w:r w:rsidR="009E7694" w:rsidRPr="00260823">
              <w:rPr>
                <w:rFonts w:ascii="Aptos" w:hAnsi="Aptos" w:cs="Arial"/>
                <w:b/>
                <w:bCs/>
              </w:rPr>
              <w:t> :</w:t>
            </w:r>
            <w:r w:rsidR="000B2C82" w:rsidRPr="00260823">
              <w:rPr>
                <w:rFonts w:ascii="Aptos" w:hAnsi="Aptos" w:cs="Arial"/>
                <w:b/>
                <w:bCs/>
              </w:rPr>
              <w:t xml:space="preserve"> </w:t>
            </w:r>
            <w:r w:rsidR="0066459D" w:rsidRPr="00260823">
              <w:rPr>
                <w:rFonts w:ascii="Aptos" w:hAnsi="Aptos" w:cs="Arial"/>
                <w:b/>
                <w:bCs/>
              </w:rPr>
              <w:t>des équilibres fragiles</w:t>
            </w:r>
          </w:p>
          <w:p w14:paraId="7DBCBD39" w14:textId="77777777" w:rsidR="000B2C82" w:rsidRPr="00260823" w:rsidRDefault="000B2C82" w:rsidP="003C05D9">
            <w:pPr>
              <w:spacing w:line="240" w:lineRule="auto"/>
              <w:jc w:val="both"/>
              <w:rPr>
                <w:rFonts w:ascii="Aptos" w:hAnsi="Aptos"/>
                <w:sz w:val="22"/>
                <w:szCs w:val="22"/>
              </w:rPr>
            </w:pPr>
          </w:p>
          <w:p w14:paraId="798DD173" w14:textId="2D4AAB81" w:rsidR="000B2C82" w:rsidRPr="00A2186D" w:rsidRDefault="000B2C82" w:rsidP="000B2C82">
            <w:pPr>
              <w:spacing w:line="240" w:lineRule="auto"/>
              <w:jc w:val="both"/>
              <w:rPr>
                <w:rFonts w:ascii="Aptos" w:hAnsi="Aptos"/>
                <w:b/>
                <w:bCs/>
                <w:sz w:val="22"/>
                <w:szCs w:val="22"/>
              </w:rPr>
            </w:pPr>
            <w:r w:rsidRPr="00A2186D">
              <w:rPr>
                <w:rFonts w:ascii="Aptos" w:hAnsi="Aptos"/>
                <w:b/>
                <w:bCs/>
                <w:sz w:val="22"/>
                <w:szCs w:val="22"/>
              </w:rPr>
              <w:t xml:space="preserve">L’industrie stabilise son volume de défaillances autour de 1000 défauts (1 006 ; -0,5 %). </w:t>
            </w:r>
            <w:r w:rsidR="001025F8" w:rsidRPr="00A2186D">
              <w:rPr>
                <w:rFonts w:ascii="Aptos" w:hAnsi="Aptos"/>
                <w:b/>
                <w:bCs/>
                <w:sz w:val="22"/>
                <w:szCs w:val="22"/>
              </w:rPr>
              <w:t>A l’instar de la construction, c</w:t>
            </w:r>
            <w:r w:rsidRPr="00A2186D">
              <w:rPr>
                <w:rFonts w:ascii="Aptos" w:hAnsi="Aptos"/>
                <w:b/>
                <w:bCs/>
                <w:sz w:val="22"/>
                <w:szCs w:val="22"/>
              </w:rPr>
              <w:t>ette apparente résistance masque des trajectoires contrastées selon les activités.</w:t>
            </w:r>
          </w:p>
          <w:p w14:paraId="479F79E8" w14:textId="77777777" w:rsidR="000B2C82" w:rsidRPr="00260823" w:rsidRDefault="000B2C82" w:rsidP="003C05D9">
            <w:pPr>
              <w:spacing w:line="240" w:lineRule="auto"/>
              <w:jc w:val="both"/>
              <w:rPr>
                <w:rFonts w:ascii="Aptos" w:hAnsi="Aptos"/>
                <w:sz w:val="22"/>
                <w:szCs w:val="22"/>
              </w:rPr>
            </w:pPr>
          </w:p>
          <w:p w14:paraId="2749FEA7" w14:textId="009427FC" w:rsidR="000B2C82" w:rsidRPr="00260823" w:rsidRDefault="000B2C82" w:rsidP="003C05D9">
            <w:pPr>
              <w:spacing w:line="240" w:lineRule="auto"/>
              <w:jc w:val="both"/>
              <w:rPr>
                <w:rFonts w:ascii="Aptos" w:hAnsi="Aptos"/>
                <w:sz w:val="22"/>
                <w:szCs w:val="22"/>
              </w:rPr>
            </w:pPr>
            <w:r w:rsidRPr="00260823">
              <w:rPr>
                <w:rFonts w:ascii="Aptos" w:hAnsi="Aptos"/>
                <w:sz w:val="22"/>
                <w:szCs w:val="22"/>
              </w:rPr>
              <w:t xml:space="preserve">L'industrie </w:t>
            </w:r>
            <w:r w:rsidRPr="00260823">
              <w:rPr>
                <w:rFonts w:ascii="Aptos" w:hAnsi="Aptos"/>
                <w:b/>
                <w:bCs/>
                <w:color w:val="000000" w:themeColor="text1"/>
                <w:sz w:val="22"/>
                <w:szCs w:val="22"/>
              </w:rPr>
              <w:t>agroalimentaire</w:t>
            </w:r>
            <w:r w:rsidRPr="00260823">
              <w:rPr>
                <w:rFonts w:ascii="Aptos" w:hAnsi="Aptos"/>
                <w:color w:val="000000" w:themeColor="text1"/>
                <w:sz w:val="22"/>
                <w:szCs w:val="22"/>
              </w:rPr>
              <w:t xml:space="preserve"> </w:t>
            </w:r>
            <w:r w:rsidRPr="00260823">
              <w:rPr>
                <w:rFonts w:ascii="Aptos" w:hAnsi="Aptos"/>
                <w:sz w:val="22"/>
                <w:szCs w:val="22"/>
              </w:rPr>
              <w:t xml:space="preserve">se dégrade légèrement avec 381 défaillances, contre 371 au deuxième trimestre 2025 (+2,7 %). La </w:t>
            </w:r>
            <w:r w:rsidRPr="00260823">
              <w:rPr>
                <w:rFonts w:ascii="Aptos" w:hAnsi="Aptos"/>
                <w:b/>
                <w:bCs/>
                <w:color w:val="00B050"/>
                <w:sz w:val="22"/>
                <w:szCs w:val="22"/>
              </w:rPr>
              <w:t>boulangerie</w:t>
            </w:r>
            <w:r w:rsidRPr="00260823">
              <w:rPr>
                <w:rFonts w:ascii="Aptos" w:hAnsi="Aptos"/>
                <w:sz w:val="22"/>
                <w:szCs w:val="22"/>
              </w:rPr>
              <w:t xml:space="preserve">-pâtisserie, qui concentre plus de la moitié des défauts, amortit (-4%) la hausse relevée </w:t>
            </w:r>
            <w:r w:rsidR="00DA613A" w:rsidRPr="00260823">
              <w:rPr>
                <w:rFonts w:ascii="Aptos" w:hAnsi="Aptos"/>
                <w:sz w:val="22"/>
                <w:szCs w:val="22"/>
              </w:rPr>
              <w:t xml:space="preserve">chez les </w:t>
            </w:r>
            <w:r w:rsidR="00DA613A" w:rsidRPr="00260823">
              <w:rPr>
                <w:rFonts w:ascii="Aptos" w:hAnsi="Aptos"/>
                <w:b/>
                <w:bCs/>
                <w:color w:val="FF0000"/>
                <w:sz w:val="22"/>
                <w:szCs w:val="22"/>
              </w:rPr>
              <w:t>cuiseurs de pain</w:t>
            </w:r>
            <w:r w:rsidR="00DA613A" w:rsidRPr="00260823">
              <w:rPr>
                <w:rFonts w:ascii="Aptos" w:hAnsi="Aptos"/>
                <w:color w:val="FF0000"/>
                <w:sz w:val="22"/>
                <w:szCs w:val="22"/>
              </w:rPr>
              <w:t xml:space="preserve"> </w:t>
            </w:r>
            <w:r w:rsidR="00DA613A" w:rsidRPr="00260823">
              <w:rPr>
                <w:rFonts w:ascii="Aptos" w:hAnsi="Aptos"/>
                <w:sz w:val="22"/>
                <w:szCs w:val="22"/>
              </w:rPr>
              <w:t xml:space="preserve">(+33%), </w:t>
            </w:r>
            <w:r w:rsidR="00DA613A" w:rsidRPr="00260823">
              <w:rPr>
                <w:rFonts w:ascii="Aptos" w:hAnsi="Aptos"/>
                <w:b/>
                <w:bCs/>
                <w:color w:val="FF0000"/>
                <w:sz w:val="22"/>
                <w:szCs w:val="22"/>
              </w:rPr>
              <w:t>pâtissiers</w:t>
            </w:r>
            <w:r w:rsidR="00DA613A" w:rsidRPr="00260823">
              <w:rPr>
                <w:rFonts w:ascii="Aptos" w:hAnsi="Aptos"/>
                <w:color w:val="FF0000"/>
                <w:sz w:val="22"/>
                <w:szCs w:val="22"/>
              </w:rPr>
              <w:t xml:space="preserve"> </w:t>
            </w:r>
            <w:r w:rsidR="00DA613A" w:rsidRPr="00260823">
              <w:rPr>
                <w:rFonts w:ascii="Aptos" w:hAnsi="Aptos"/>
                <w:sz w:val="22"/>
                <w:szCs w:val="22"/>
              </w:rPr>
              <w:t xml:space="preserve">(+38%), </w:t>
            </w:r>
            <w:r w:rsidR="00DA613A" w:rsidRPr="00260823">
              <w:rPr>
                <w:rFonts w:ascii="Aptos" w:hAnsi="Aptos"/>
                <w:b/>
                <w:bCs/>
                <w:color w:val="FF0000"/>
                <w:sz w:val="22"/>
                <w:szCs w:val="22"/>
              </w:rPr>
              <w:t>brasseurs</w:t>
            </w:r>
            <w:r w:rsidRPr="00260823">
              <w:rPr>
                <w:rFonts w:ascii="Aptos" w:hAnsi="Aptos"/>
                <w:color w:val="FF0000"/>
                <w:sz w:val="22"/>
                <w:szCs w:val="22"/>
              </w:rPr>
              <w:t xml:space="preserve"> </w:t>
            </w:r>
            <w:r w:rsidRPr="00260823">
              <w:rPr>
                <w:rFonts w:ascii="Aptos" w:hAnsi="Aptos"/>
                <w:sz w:val="22"/>
                <w:szCs w:val="22"/>
              </w:rPr>
              <w:t xml:space="preserve">(+11%) </w:t>
            </w:r>
            <w:r w:rsidR="00DA613A" w:rsidRPr="00260823">
              <w:rPr>
                <w:rFonts w:ascii="Aptos" w:hAnsi="Aptos"/>
                <w:sz w:val="22"/>
                <w:szCs w:val="22"/>
              </w:rPr>
              <w:t xml:space="preserve">ou dans la </w:t>
            </w:r>
            <w:r w:rsidR="00DA613A" w:rsidRPr="00260823">
              <w:rPr>
                <w:rFonts w:ascii="Aptos" w:hAnsi="Aptos"/>
                <w:b/>
                <w:bCs/>
                <w:color w:val="FF0000"/>
                <w:sz w:val="22"/>
                <w:szCs w:val="22"/>
              </w:rPr>
              <w:t>transformation des viandes</w:t>
            </w:r>
            <w:r w:rsidR="00DA613A" w:rsidRPr="00260823">
              <w:rPr>
                <w:rFonts w:ascii="Aptos" w:hAnsi="Aptos"/>
                <w:sz w:val="22"/>
                <w:szCs w:val="22"/>
              </w:rPr>
              <w:t xml:space="preserve"> (+24%).</w:t>
            </w:r>
          </w:p>
          <w:p w14:paraId="341A2D9C" w14:textId="77777777" w:rsidR="000B2C82" w:rsidRPr="00260823" w:rsidRDefault="000B2C82" w:rsidP="003C05D9">
            <w:pPr>
              <w:spacing w:line="240" w:lineRule="auto"/>
              <w:jc w:val="both"/>
              <w:rPr>
                <w:rFonts w:ascii="Aptos" w:hAnsi="Aptos"/>
                <w:sz w:val="22"/>
                <w:szCs w:val="22"/>
              </w:rPr>
            </w:pPr>
          </w:p>
          <w:p w14:paraId="36F94F80" w14:textId="2C2464BD" w:rsidR="00DA613A" w:rsidRPr="00260823" w:rsidRDefault="00DA613A" w:rsidP="00DA613A">
            <w:pPr>
              <w:spacing w:line="240" w:lineRule="auto"/>
              <w:jc w:val="both"/>
              <w:rPr>
                <w:rFonts w:ascii="Aptos" w:hAnsi="Aptos"/>
                <w:sz w:val="22"/>
                <w:szCs w:val="22"/>
              </w:rPr>
            </w:pPr>
            <w:r w:rsidRPr="00260823">
              <w:rPr>
                <w:rFonts w:ascii="Aptos" w:hAnsi="Aptos"/>
                <w:sz w:val="22"/>
                <w:szCs w:val="22"/>
              </w:rPr>
              <w:t xml:space="preserve">L'industrie </w:t>
            </w:r>
            <w:r w:rsidRPr="00260823">
              <w:rPr>
                <w:rFonts w:ascii="Aptos" w:hAnsi="Aptos"/>
                <w:b/>
                <w:bCs/>
                <w:sz w:val="22"/>
                <w:szCs w:val="22"/>
              </w:rPr>
              <w:t>manufacturière</w:t>
            </w:r>
            <w:r w:rsidRPr="00260823">
              <w:rPr>
                <w:rFonts w:ascii="Aptos" w:hAnsi="Aptos"/>
                <w:sz w:val="22"/>
                <w:szCs w:val="22"/>
              </w:rPr>
              <w:t xml:space="preserve"> résiste </w:t>
            </w:r>
            <w:r w:rsidR="00783C53" w:rsidRPr="00260823">
              <w:rPr>
                <w:rFonts w:ascii="Aptos" w:hAnsi="Aptos"/>
                <w:sz w:val="22"/>
                <w:szCs w:val="22"/>
              </w:rPr>
              <w:t xml:space="preserve">globalement </w:t>
            </w:r>
            <w:r w:rsidRPr="00260823">
              <w:rPr>
                <w:rFonts w:ascii="Aptos" w:hAnsi="Aptos"/>
                <w:sz w:val="22"/>
                <w:szCs w:val="22"/>
              </w:rPr>
              <w:t xml:space="preserve">(625 ; -2,3%) mais </w:t>
            </w:r>
            <w:r w:rsidR="00830141" w:rsidRPr="00260823">
              <w:rPr>
                <w:rFonts w:ascii="Aptos" w:hAnsi="Aptos"/>
                <w:sz w:val="22"/>
                <w:szCs w:val="22"/>
              </w:rPr>
              <w:t>d</w:t>
            </w:r>
            <w:r w:rsidRPr="00260823">
              <w:rPr>
                <w:rFonts w:ascii="Aptos" w:hAnsi="Aptos"/>
                <w:sz w:val="22"/>
                <w:szCs w:val="22"/>
              </w:rPr>
              <w:t xml:space="preserve">es tensions </w:t>
            </w:r>
            <w:r w:rsidR="00783C53" w:rsidRPr="00260823">
              <w:rPr>
                <w:rFonts w:ascii="Aptos" w:hAnsi="Aptos"/>
                <w:sz w:val="22"/>
                <w:szCs w:val="22"/>
              </w:rPr>
              <w:t>persistent</w:t>
            </w:r>
            <w:r w:rsidRPr="00260823">
              <w:rPr>
                <w:rFonts w:ascii="Aptos" w:hAnsi="Aptos"/>
                <w:sz w:val="22"/>
                <w:szCs w:val="22"/>
              </w:rPr>
              <w:t xml:space="preserve"> dans les </w:t>
            </w:r>
            <w:r w:rsidRPr="00260823">
              <w:rPr>
                <w:rFonts w:ascii="Aptos" w:hAnsi="Aptos"/>
                <w:b/>
                <w:bCs/>
                <w:color w:val="FF0000"/>
                <w:sz w:val="22"/>
                <w:szCs w:val="22"/>
              </w:rPr>
              <w:t>matériaux de construction</w:t>
            </w:r>
            <w:r w:rsidR="00783C53" w:rsidRPr="00260823">
              <w:rPr>
                <w:rFonts w:ascii="Aptos" w:hAnsi="Aptos"/>
                <w:color w:val="FF0000"/>
                <w:sz w:val="22"/>
                <w:szCs w:val="22"/>
              </w:rPr>
              <w:t xml:space="preserve"> </w:t>
            </w:r>
            <w:r w:rsidR="00783C53" w:rsidRPr="00260823">
              <w:rPr>
                <w:rFonts w:ascii="Aptos" w:hAnsi="Aptos"/>
                <w:sz w:val="22"/>
                <w:szCs w:val="22"/>
              </w:rPr>
              <w:t xml:space="preserve">dont le nombre de </w:t>
            </w:r>
            <w:r w:rsidRPr="00260823">
              <w:rPr>
                <w:rFonts w:ascii="Aptos" w:hAnsi="Aptos"/>
                <w:sz w:val="22"/>
                <w:szCs w:val="22"/>
              </w:rPr>
              <w:t xml:space="preserve">défaillances </w:t>
            </w:r>
            <w:r w:rsidR="00783C53" w:rsidRPr="00260823">
              <w:rPr>
                <w:rFonts w:ascii="Aptos" w:hAnsi="Aptos"/>
                <w:sz w:val="22"/>
                <w:szCs w:val="22"/>
              </w:rPr>
              <w:t>augmente</w:t>
            </w:r>
            <w:r w:rsidRPr="00260823">
              <w:rPr>
                <w:rFonts w:ascii="Aptos" w:hAnsi="Aptos"/>
                <w:sz w:val="22"/>
                <w:szCs w:val="22"/>
              </w:rPr>
              <w:t xml:space="preserve"> </w:t>
            </w:r>
            <w:r w:rsidR="00783C53" w:rsidRPr="00260823">
              <w:rPr>
                <w:rFonts w:ascii="Aptos" w:hAnsi="Aptos"/>
                <w:sz w:val="22"/>
                <w:szCs w:val="22"/>
              </w:rPr>
              <w:t>rapidement (</w:t>
            </w:r>
            <w:r w:rsidRPr="00260823">
              <w:rPr>
                <w:rFonts w:ascii="Aptos" w:hAnsi="Aptos"/>
                <w:sz w:val="22"/>
                <w:szCs w:val="22"/>
              </w:rPr>
              <w:t>+55 %)</w:t>
            </w:r>
            <w:r w:rsidR="00783C53" w:rsidRPr="00260823">
              <w:rPr>
                <w:rFonts w:ascii="Aptos" w:hAnsi="Aptos"/>
                <w:sz w:val="22"/>
                <w:szCs w:val="22"/>
              </w:rPr>
              <w:t xml:space="preserve">. Les difficultés sont très marquées dans la filière bois dans les activités de sciage, charpente et autres menuiseries. Le segment </w:t>
            </w:r>
            <w:r w:rsidRPr="00260823">
              <w:rPr>
                <w:rFonts w:ascii="Aptos" w:hAnsi="Aptos"/>
                <w:b/>
                <w:bCs/>
                <w:color w:val="FF0000"/>
                <w:sz w:val="22"/>
                <w:szCs w:val="22"/>
              </w:rPr>
              <w:t>énergie</w:t>
            </w:r>
            <w:r w:rsidR="00830141" w:rsidRPr="00260823">
              <w:rPr>
                <w:rFonts w:ascii="Aptos" w:hAnsi="Aptos"/>
                <w:b/>
                <w:bCs/>
                <w:color w:val="FF0000"/>
                <w:sz w:val="22"/>
                <w:szCs w:val="22"/>
              </w:rPr>
              <w:t>-environnement</w:t>
            </w:r>
            <w:r w:rsidR="00830141" w:rsidRPr="00260823">
              <w:rPr>
                <w:rFonts w:ascii="Aptos" w:hAnsi="Aptos"/>
                <w:color w:val="FF0000"/>
                <w:sz w:val="22"/>
                <w:szCs w:val="22"/>
              </w:rPr>
              <w:t xml:space="preserve"> </w:t>
            </w:r>
            <w:r w:rsidR="00783C53" w:rsidRPr="00260823">
              <w:rPr>
                <w:rFonts w:ascii="Aptos" w:hAnsi="Aptos"/>
                <w:sz w:val="22"/>
                <w:szCs w:val="22"/>
              </w:rPr>
              <w:t xml:space="preserve">est </w:t>
            </w:r>
            <w:r w:rsidRPr="00260823">
              <w:rPr>
                <w:rFonts w:ascii="Aptos" w:hAnsi="Aptos"/>
                <w:sz w:val="22"/>
                <w:szCs w:val="22"/>
              </w:rPr>
              <w:t xml:space="preserve">également </w:t>
            </w:r>
            <w:r w:rsidR="00783C53" w:rsidRPr="00260823">
              <w:rPr>
                <w:rFonts w:ascii="Aptos" w:hAnsi="Aptos"/>
                <w:sz w:val="22"/>
                <w:szCs w:val="22"/>
              </w:rPr>
              <w:t xml:space="preserve">dans le rouge </w:t>
            </w:r>
            <w:r w:rsidRPr="00260823">
              <w:rPr>
                <w:rFonts w:ascii="Aptos" w:hAnsi="Aptos"/>
                <w:sz w:val="22"/>
                <w:szCs w:val="22"/>
              </w:rPr>
              <w:t>(+6 %)</w:t>
            </w:r>
            <w:r w:rsidR="00783C53" w:rsidRPr="00260823">
              <w:rPr>
                <w:rFonts w:ascii="Aptos" w:hAnsi="Aptos"/>
                <w:sz w:val="22"/>
                <w:szCs w:val="22"/>
              </w:rPr>
              <w:t xml:space="preserve"> </w:t>
            </w:r>
            <w:r w:rsidR="00830141" w:rsidRPr="00260823">
              <w:rPr>
                <w:rFonts w:ascii="Aptos" w:hAnsi="Aptos"/>
                <w:sz w:val="22"/>
                <w:szCs w:val="22"/>
              </w:rPr>
              <w:t>plombé par la production d'électricité tandis que la récupération de déchets triés est favorablement orientée. En revanche</w:t>
            </w:r>
            <w:r w:rsidRPr="00260823">
              <w:rPr>
                <w:rFonts w:ascii="Aptos" w:hAnsi="Aptos"/>
                <w:sz w:val="22"/>
                <w:szCs w:val="22"/>
              </w:rPr>
              <w:t xml:space="preserve">, </w:t>
            </w:r>
            <w:r w:rsidR="00830141" w:rsidRPr="00260823">
              <w:rPr>
                <w:rFonts w:ascii="Aptos" w:hAnsi="Aptos"/>
                <w:sz w:val="22"/>
                <w:szCs w:val="22"/>
              </w:rPr>
              <w:t xml:space="preserve">les </w:t>
            </w:r>
            <w:r w:rsidRPr="00260823">
              <w:rPr>
                <w:rFonts w:ascii="Aptos" w:hAnsi="Aptos"/>
                <w:sz w:val="22"/>
                <w:szCs w:val="22"/>
              </w:rPr>
              <w:t xml:space="preserve">défaillances reculent nettement dans le </w:t>
            </w:r>
            <w:r w:rsidRPr="00260823">
              <w:rPr>
                <w:rFonts w:ascii="Aptos" w:hAnsi="Aptos"/>
                <w:b/>
                <w:bCs/>
                <w:color w:val="00B050"/>
                <w:sz w:val="22"/>
                <w:szCs w:val="22"/>
              </w:rPr>
              <w:t>textile</w:t>
            </w:r>
            <w:r w:rsidR="00830141" w:rsidRPr="00260823">
              <w:rPr>
                <w:rFonts w:ascii="Aptos" w:hAnsi="Aptos"/>
                <w:b/>
                <w:bCs/>
                <w:color w:val="00B050"/>
                <w:sz w:val="22"/>
                <w:szCs w:val="22"/>
              </w:rPr>
              <w:t>-</w:t>
            </w:r>
            <w:r w:rsidRPr="00260823">
              <w:rPr>
                <w:rFonts w:ascii="Aptos" w:hAnsi="Aptos"/>
                <w:b/>
                <w:bCs/>
                <w:color w:val="00B050"/>
                <w:sz w:val="22"/>
                <w:szCs w:val="22"/>
              </w:rPr>
              <w:t>habillement</w:t>
            </w:r>
            <w:r w:rsidRPr="00260823">
              <w:rPr>
                <w:rFonts w:ascii="Aptos" w:hAnsi="Aptos"/>
                <w:color w:val="00B050"/>
                <w:sz w:val="22"/>
                <w:szCs w:val="22"/>
              </w:rPr>
              <w:t xml:space="preserve"> </w:t>
            </w:r>
            <w:r w:rsidRPr="00260823">
              <w:rPr>
                <w:rFonts w:ascii="Aptos" w:hAnsi="Aptos"/>
                <w:sz w:val="22"/>
                <w:szCs w:val="22"/>
              </w:rPr>
              <w:t>(-20 %)</w:t>
            </w:r>
            <w:r w:rsidR="00830141" w:rsidRPr="00260823">
              <w:rPr>
                <w:rFonts w:ascii="Aptos" w:hAnsi="Aptos"/>
                <w:sz w:val="22"/>
                <w:szCs w:val="22"/>
              </w:rPr>
              <w:t xml:space="preserve"> porté par</w:t>
            </w:r>
            <w:r w:rsidR="00830141" w:rsidRPr="00260823">
              <w:rPr>
                <w:rFonts w:ascii="Aptos" w:hAnsi="Aptos"/>
              </w:rPr>
              <w:t xml:space="preserve"> </w:t>
            </w:r>
            <w:r w:rsidR="00830141" w:rsidRPr="00260823">
              <w:rPr>
                <w:rFonts w:ascii="Aptos" w:hAnsi="Aptos"/>
                <w:sz w:val="22"/>
                <w:szCs w:val="22"/>
              </w:rPr>
              <w:t xml:space="preserve">la fabrication de vêtements de dessus, mais aussi </w:t>
            </w:r>
            <w:r w:rsidRPr="00260823">
              <w:rPr>
                <w:rFonts w:ascii="Aptos" w:hAnsi="Aptos"/>
                <w:sz w:val="22"/>
                <w:szCs w:val="22"/>
              </w:rPr>
              <w:t xml:space="preserve">dans </w:t>
            </w:r>
            <w:r w:rsidRPr="00260823">
              <w:rPr>
                <w:rFonts w:ascii="Aptos" w:hAnsi="Aptos"/>
                <w:b/>
                <w:bCs/>
                <w:color w:val="00B050"/>
                <w:sz w:val="22"/>
                <w:szCs w:val="22"/>
              </w:rPr>
              <w:t>l'imprimerie</w:t>
            </w:r>
            <w:r w:rsidRPr="00260823">
              <w:rPr>
                <w:rFonts w:ascii="Aptos" w:hAnsi="Aptos"/>
                <w:color w:val="00B050"/>
                <w:sz w:val="22"/>
                <w:szCs w:val="22"/>
              </w:rPr>
              <w:t xml:space="preserve"> </w:t>
            </w:r>
            <w:r w:rsidRPr="00260823">
              <w:rPr>
                <w:rFonts w:ascii="Aptos" w:hAnsi="Aptos"/>
                <w:sz w:val="22"/>
                <w:szCs w:val="22"/>
              </w:rPr>
              <w:t xml:space="preserve">(-31 %) et dans les activités de </w:t>
            </w:r>
            <w:r w:rsidRPr="00260823">
              <w:rPr>
                <w:rFonts w:ascii="Aptos" w:hAnsi="Aptos"/>
                <w:b/>
                <w:bCs/>
                <w:color w:val="00B050"/>
                <w:sz w:val="22"/>
                <w:szCs w:val="22"/>
              </w:rPr>
              <w:t>réparation et maintenance</w:t>
            </w:r>
            <w:r w:rsidRPr="00260823">
              <w:rPr>
                <w:rFonts w:ascii="Aptos" w:hAnsi="Aptos"/>
                <w:color w:val="00B050"/>
                <w:sz w:val="22"/>
                <w:szCs w:val="22"/>
              </w:rPr>
              <w:t xml:space="preserve"> </w:t>
            </w:r>
            <w:r w:rsidRPr="00260823">
              <w:rPr>
                <w:rFonts w:ascii="Aptos" w:hAnsi="Aptos"/>
                <w:sz w:val="22"/>
                <w:szCs w:val="22"/>
              </w:rPr>
              <w:t>(-15 %).</w:t>
            </w:r>
          </w:p>
          <w:p w14:paraId="620A1E40" w14:textId="77777777" w:rsidR="00DA613A" w:rsidRPr="00260823" w:rsidRDefault="00DA613A" w:rsidP="00DA613A">
            <w:pPr>
              <w:spacing w:line="240" w:lineRule="auto"/>
              <w:jc w:val="both"/>
              <w:rPr>
                <w:rFonts w:ascii="Aptos" w:hAnsi="Aptos"/>
                <w:sz w:val="22"/>
                <w:szCs w:val="22"/>
              </w:rPr>
            </w:pPr>
          </w:p>
          <w:p w14:paraId="5C6B94BD" w14:textId="791B6CA8" w:rsidR="00F14888" w:rsidRPr="00260823" w:rsidRDefault="00F14888" w:rsidP="0010705D">
            <w:pPr>
              <w:pStyle w:val="Paragraphedeliste"/>
              <w:numPr>
                <w:ilvl w:val="0"/>
                <w:numId w:val="6"/>
              </w:numPr>
              <w:spacing w:line="240" w:lineRule="auto"/>
              <w:jc w:val="both"/>
              <w:rPr>
                <w:rFonts w:ascii="Aptos" w:hAnsi="Aptos"/>
                <w:sz w:val="22"/>
                <w:szCs w:val="22"/>
              </w:rPr>
            </w:pPr>
            <w:r w:rsidRPr="00260823">
              <w:rPr>
                <w:rFonts w:ascii="Aptos" w:hAnsi="Aptos" w:cs="Arial"/>
                <w:b/>
                <w:bCs/>
              </w:rPr>
              <w:t>S</w:t>
            </w:r>
            <w:r w:rsidR="00C07846">
              <w:rPr>
                <w:rFonts w:ascii="Aptos" w:hAnsi="Aptos" w:cs="Arial"/>
                <w:b/>
                <w:bCs/>
              </w:rPr>
              <w:t xml:space="preserve">ervices aux entreprises </w:t>
            </w:r>
            <w:r w:rsidRPr="00260823">
              <w:rPr>
                <w:rFonts w:ascii="Aptos" w:hAnsi="Aptos" w:cs="Arial"/>
                <w:b/>
                <w:bCs/>
              </w:rPr>
              <w:t xml:space="preserve">: </w:t>
            </w:r>
            <w:r w:rsidR="0010705D" w:rsidRPr="00260823">
              <w:rPr>
                <w:rFonts w:ascii="Aptos" w:hAnsi="Aptos" w:cs="Arial"/>
                <w:b/>
                <w:bCs/>
              </w:rPr>
              <w:t>la dégradation s'accélère et gagne l'ensemble des métiers du support</w:t>
            </w:r>
          </w:p>
          <w:p w14:paraId="1B267E9E" w14:textId="77777777" w:rsidR="0010705D" w:rsidRPr="00260823" w:rsidRDefault="0010705D" w:rsidP="00F14888">
            <w:pPr>
              <w:spacing w:line="240" w:lineRule="auto"/>
              <w:jc w:val="both"/>
              <w:rPr>
                <w:rFonts w:ascii="Aptos" w:hAnsi="Aptos"/>
                <w:sz w:val="22"/>
                <w:szCs w:val="22"/>
              </w:rPr>
            </w:pPr>
          </w:p>
          <w:p w14:paraId="1D9D46C9" w14:textId="685336E1" w:rsidR="005324FA" w:rsidRPr="00A2186D" w:rsidRDefault="005324FA" w:rsidP="00F14888">
            <w:pPr>
              <w:spacing w:line="240" w:lineRule="auto"/>
              <w:jc w:val="both"/>
              <w:rPr>
                <w:rFonts w:ascii="Aptos" w:hAnsi="Aptos"/>
                <w:b/>
                <w:bCs/>
                <w:sz w:val="22"/>
                <w:szCs w:val="22"/>
              </w:rPr>
            </w:pPr>
            <w:r w:rsidRPr="00A2186D">
              <w:rPr>
                <w:rFonts w:ascii="Aptos" w:hAnsi="Aptos"/>
                <w:b/>
                <w:bCs/>
                <w:sz w:val="22"/>
                <w:szCs w:val="22"/>
              </w:rPr>
              <w:t>Avec 2 562 défaillances enregistrées au deuxième trimestre 2026, les services aux entreprises figurent parmi les secteurs les plus dégradés de la période. Le nombre de procédures progresse de +13,9 % sur un an. Cette hausse touche aussi bien les activités intellectuelles que les fonctions de support.</w:t>
            </w:r>
          </w:p>
          <w:p w14:paraId="7093254D" w14:textId="77777777" w:rsidR="005324FA" w:rsidRPr="00260823" w:rsidRDefault="005324FA" w:rsidP="00F14888">
            <w:pPr>
              <w:spacing w:line="240" w:lineRule="auto"/>
              <w:jc w:val="both"/>
              <w:rPr>
                <w:rFonts w:ascii="Aptos" w:hAnsi="Aptos"/>
                <w:sz w:val="22"/>
                <w:szCs w:val="22"/>
              </w:rPr>
            </w:pPr>
          </w:p>
          <w:p w14:paraId="0B841BDE" w14:textId="7EA5A4D1" w:rsidR="005324FA" w:rsidRDefault="005324FA" w:rsidP="00F14888">
            <w:pPr>
              <w:spacing w:line="240" w:lineRule="auto"/>
              <w:jc w:val="both"/>
              <w:rPr>
                <w:rFonts w:ascii="Aptos" w:hAnsi="Aptos"/>
                <w:sz w:val="22"/>
                <w:szCs w:val="22"/>
              </w:rPr>
            </w:pPr>
            <w:r w:rsidRPr="00260823">
              <w:rPr>
                <w:rFonts w:ascii="Aptos" w:hAnsi="Aptos"/>
                <w:sz w:val="22"/>
                <w:szCs w:val="22"/>
              </w:rPr>
              <w:t xml:space="preserve">Les activités </w:t>
            </w:r>
            <w:r w:rsidRPr="00AD1489">
              <w:rPr>
                <w:rFonts w:ascii="Aptos" w:hAnsi="Aptos"/>
                <w:b/>
                <w:bCs/>
                <w:color w:val="FF0000"/>
                <w:sz w:val="22"/>
                <w:szCs w:val="22"/>
              </w:rPr>
              <w:t>scientifiques et techniques</w:t>
            </w:r>
            <w:r w:rsidRPr="00260823">
              <w:rPr>
                <w:rFonts w:ascii="Aptos" w:hAnsi="Aptos"/>
                <w:sz w:val="22"/>
                <w:szCs w:val="22"/>
              </w:rPr>
              <w:t xml:space="preserve"> totalisent à elles seules 1 191 défaillances, contre 1 038 un an plus tôt (+14,7 %). Les tensions sont particulièrement fortes dans le </w:t>
            </w:r>
            <w:r w:rsidRPr="00260823">
              <w:rPr>
                <w:rFonts w:ascii="Aptos" w:hAnsi="Aptos"/>
                <w:b/>
                <w:bCs/>
                <w:color w:val="FF0000"/>
                <w:sz w:val="22"/>
                <w:szCs w:val="22"/>
              </w:rPr>
              <w:t>conseil</w:t>
            </w:r>
            <w:r w:rsidRPr="00260823">
              <w:rPr>
                <w:rFonts w:ascii="Aptos" w:hAnsi="Aptos"/>
                <w:color w:val="FF0000"/>
                <w:sz w:val="22"/>
                <w:szCs w:val="22"/>
              </w:rPr>
              <w:t xml:space="preserve"> </w:t>
            </w:r>
            <w:r w:rsidRPr="00260823">
              <w:rPr>
                <w:rFonts w:ascii="Aptos" w:hAnsi="Aptos"/>
                <w:sz w:val="22"/>
                <w:szCs w:val="22"/>
              </w:rPr>
              <w:t xml:space="preserve">en communication et en gestion (+19,6 %), les activités d'architecture et </w:t>
            </w:r>
            <w:r w:rsidRPr="00260823">
              <w:rPr>
                <w:rFonts w:ascii="Aptos" w:hAnsi="Aptos"/>
                <w:b/>
                <w:bCs/>
                <w:color w:val="FF0000"/>
                <w:sz w:val="22"/>
                <w:szCs w:val="22"/>
              </w:rPr>
              <w:t>d'ingénierie</w:t>
            </w:r>
            <w:r w:rsidRPr="00260823">
              <w:rPr>
                <w:rFonts w:ascii="Aptos" w:hAnsi="Aptos"/>
                <w:color w:val="FF0000"/>
                <w:sz w:val="22"/>
                <w:szCs w:val="22"/>
              </w:rPr>
              <w:t xml:space="preserve"> </w:t>
            </w:r>
            <w:r w:rsidRPr="00260823">
              <w:rPr>
                <w:rFonts w:ascii="Aptos" w:hAnsi="Aptos"/>
                <w:sz w:val="22"/>
                <w:szCs w:val="22"/>
              </w:rPr>
              <w:t xml:space="preserve">(+14 %). Les autres services spécialisés sont également dans le rouge (+10,1 %) notamment les agences de </w:t>
            </w:r>
            <w:r w:rsidRPr="00260823">
              <w:rPr>
                <w:rFonts w:ascii="Aptos" w:hAnsi="Aptos"/>
                <w:b/>
                <w:bCs/>
                <w:color w:val="FF0000"/>
                <w:sz w:val="22"/>
                <w:szCs w:val="22"/>
              </w:rPr>
              <w:t>publicité</w:t>
            </w:r>
            <w:r w:rsidRPr="00260823">
              <w:rPr>
                <w:rFonts w:ascii="Aptos" w:hAnsi="Aptos"/>
                <w:color w:val="FF0000"/>
                <w:sz w:val="22"/>
                <w:szCs w:val="22"/>
              </w:rPr>
              <w:t xml:space="preserve"> </w:t>
            </w:r>
            <w:r w:rsidRPr="00260823">
              <w:rPr>
                <w:rFonts w:ascii="Aptos" w:hAnsi="Aptos"/>
                <w:sz w:val="22"/>
                <w:szCs w:val="22"/>
              </w:rPr>
              <w:t>(+8</w:t>
            </w:r>
            <w:r w:rsidR="00AD1489">
              <w:rPr>
                <w:rFonts w:ascii="Aptos" w:hAnsi="Aptos"/>
                <w:sz w:val="22"/>
                <w:szCs w:val="22"/>
              </w:rPr>
              <w:t xml:space="preserve"> </w:t>
            </w:r>
            <w:r w:rsidRPr="00260823">
              <w:rPr>
                <w:rFonts w:ascii="Aptos" w:hAnsi="Aptos"/>
                <w:sz w:val="22"/>
                <w:szCs w:val="22"/>
              </w:rPr>
              <w:t>%).</w:t>
            </w:r>
          </w:p>
          <w:p w14:paraId="265C3C03" w14:textId="77777777" w:rsidR="00AD1489" w:rsidRPr="00260823" w:rsidRDefault="00AD1489" w:rsidP="00F14888">
            <w:pPr>
              <w:spacing w:line="240" w:lineRule="auto"/>
              <w:jc w:val="both"/>
              <w:rPr>
                <w:rFonts w:ascii="Aptos" w:hAnsi="Aptos"/>
                <w:sz w:val="22"/>
                <w:szCs w:val="22"/>
              </w:rPr>
            </w:pPr>
          </w:p>
          <w:p w14:paraId="3AE096A8" w14:textId="60641109" w:rsidR="005324FA" w:rsidRPr="00260823" w:rsidRDefault="005324FA" w:rsidP="005324FA">
            <w:pPr>
              <w:spacing w:line="240" w:lineRule="auto"/>
              <w:jc w:val="both"/>
              <w:rPr>
                <w:rFonts w:ascii="Aptos" w:hAnsi="Aptos"/>
                <w:sz w:val="22"/>
                <w:szCs w:val="22"/>
              </w:rPr>
            </w:pPr>
            <w:r w:rsidRPr="00260823">
              <w:rPr>
                <w:rFonts w:ascii="Aptos" w:hAnsi="Aptos"/>
                <w:sz w:val="22"/>
                <w:szCs w:val="22"/>
              </w:rPr>
              <w:t xml:space="preserve">Les </w:t>
            </w:r>
            <w:r w:rsidRPr="00AD1489">
              <w:rPr>
                <w:rFonts w:ascii="Aptos" w:hAnsi="Aptos"/>
                <w:b/>
                <w:bCs/>
                <w:color w:val="FF0000"/>
                <w:sz w:val="22"/>
                <w:szCs w:val="22"/>
              </w:rPr>
              <w:t>services administratifs aux entreprises</w:t>
            </w:r>
            <w:r w:rsidRPr="00260823">
              <w:rPr>
                <w:rFonts w:ascii="Aptos" w:hAnsi="Aptos"/>
                <w:sz w:val="22"/>
                <w:szCs w:val="22"/>
              </w:rPr>
              <w:t xml:space="preserve"> ne sont pas épargnés. Ils concentrent désormais 1 371 défaillances (+13,2 %). Les plus fortes tensions concernent les activités </w:t>
            </w:r>
            <w:r w:rsidR="0054491C">
              <w:rPr>
                <w:rFonts w:ascii="Aptos" w:hAnsi="Aptos"/>
                <w:sz w:val="22"/>
                <w:szCs w:val="22"/>
              </w:rPr>
              <w:t>qui mobilisent de nombreux salariés</w:t>
            </w:r>
            <w:r w:rsidRPr="00260823">
              <w:rPr>
                <w:rFonts w:ascii="Aptos" w:hAnsi="Aptos"/>
                <w:sz w:val="22"/>
                <w:szCs w:val="22"/>
              </w:rPr>
              <w:t xml:space="preserve">. Les entreprises de </w:t>
            </w:r>
            <w:r w:rsidRPr="00260823">
              <w:rPr>
                <w:rFonts w:ascii="Aptos" w:hAnsi="Aptos"/>
                <w:b/>
                <w:bCs/>
                <w:color w:val="FF0000"/>
                <w:sz w:val="22"/>
                <w:szCs w:val="22"/>
              </w:rPr>
              <w:t>sécurité</w:t>
            </w:r>
            <w:r w:rsidRPr="00260823">
              <w:rPr>
                <w:rFonts w:ascii="Aptos" w:hAnsi="Aptos"/>
                <w:color w:val="FF0000"/>
                <w:sz w:val="22"/>
                <w:szCs w:val="22"/>
              </w:rPr>
              <w:t xml:space="preserve"> </w:t>
            </w:r>
            <w:r w:rsidRPr="00260823">
              <w:rPr>
                <w:rFonts w:ascii="Aptos" w:hAnsi="Aptos"/>
                <w:sz w:val="22"/>
                <w:szCs w:val="22"/>
              </w:rPr>
              <w:t>voient leurs défaillances bondir de +22 %, tandis que les entreprises d</w:t>
            </w:r>
            <w:r w:rsidR="00D73181" w:rsidRPr="00260823">
              <w:rPr>
                <w:rFonts w:ascii="Aptos" w:hAnsi="Aptos"/>
                <w:sz w:val="22"/>
                <w:szCs w:val="22"/>
              </w:rPr>
              <w:t xml:space="preserve">e </w:t>
            </w:r>
            <w:r w:rsidR="00D73181" w:rsidRPr="00260823">
              <w:rPr>
                <w:rFonts w:ascii="Aptos" w:hAnsi="Aptos"/>
                <w:b/>
                <w:bCs/>
                <w:color w:val="FF0000"/>
                <w:sz w:val="22"/>
                <w:szCs w:val="22"/>
              </w:rPr>
              <w:t>propreté</w:t>
            </w:r>
            <w:r w:rsidR="00D73181" w:rsidRPr="00260823">
              <w:rPr>
                <w:rFonts w:ascii="Aptos" w:hAnsi="Aptos"/>
                <w:color w:val="FF0000"/>
                <w:sz w:val="22"/>
                <w:szCs w:val="22"/>
              </w:rPr>
              <w:t xml:space="preserve"> </w:t>
            </w:r>
            <w:r w:rsidRPr="00260823">
              <w:rPr>
                <w:rFonts w:ascii="Aptos" w:hAnsi="Aptos"/>
                <w:sz w:val="22"/>
                <w:szCs w:val="22"/>
              </w:rPr>
              <w:t xml:space="preserve">enregistrent </w:t>
            </w:r>
            <w:r w:rsidR="00D73181" w:rsidRPr="00260823">
              <w:rPr>
                <w:rFonts w:ascii="Aptos" w:hAnsi="Aptos"/>
                <w:sz w:val="22"/>
                <w:szCs w:val="22"/>
              </w:rPr>
              <w:t>une</w:t>
            </w:r>
            <w:r w:rsidRPr="00260823">
              <w:rPr>
                <w:rFonts w:ascii="Aptos" w:hAnsi="Aptos"/>
                <w:sz w:val="22"/>
                <w:szCs w:val="22"/>
              </w:rPr>
              <w:t xml:space="preserve"> hausse de +16,8 %</w:t>
            </w:r>
            <w:r w:rsidR="00D73181" w:rsidRPr="00260823">
              <w:rPr>
                <w:rFonts w:ascii="Aptos" w:hAnsi="Aptos"/>
                <w:sz w:val="22"/>
                <w:szCs w:val="22"/>
              </w:rPr>
              <w:t>.</w:t>
            </w:r>
          </w:p>
          <w:p w14:paraId="431FC68A" w14:textId="77777777" w:rsidR="005324FA" w:rsidRPr="00260823" w:rsidRDefault="005324FA" w:rsidP="005324FA">
            <w:pPr>
              <w:spacing w:line="240" w:lineRule="auto"/>
              <w:jc w:val="both"/>
              <w:rPr>
                <w:rFonts w:ascii="Aptos" w:hAnsi="Aptos"/>
                <w:sz w:val="22"/>
                <w:szCs w:val="22"/>
              </w:rPr>
            </w:pPr>
          </w:p>
          <w:p w14:paraId="6A2F04C0" w14:textId="3F2DC7D3" w:rsidR="00976C1F" w:rsidRPr="00260823" w:rsidRDefault="00C07846" w:rsidP="00976C1F">
            <w:pPr>
              <w:pStyle w:val="Paragraphedeliste"/>
              <w:numPr>
                <w:ilvl w:val="0"/>
                <w:numId w:val="6"/>
              </w:numPr>
              <w:spacing w:line="240" w:lineRule="auto"/>
              <w:jc w:val="both"/>
              <w:rPr>
                <w:rFonts w:ascii="Aptos" w:hAnsi="Aptos"/>
                <w:sz w:val="22"/>
                <w:szCs w:val="22"/>
              </w:rPr>
            </w:pPr>
            <w:r>
              <w:rPr>
                <w:rFonts w:ascii="Aptos" w:hAnsi="Aptos" w:cs="Arial"/>
                <w:b/>
                <w:bCs/>
              </w:rPr>
              <w:t xml:space="preserve">Information &amp; Communication </w:t>
            </w:r>
            <w:r w:rsidR="00976C1F" w:rsidRPr="00260823">
              <w:rPr>
                <w:rFonts w:ascii="Aptos" w:hAnsi="Aptos" w:cs="Arial"/>
                <w:b/>
                <w:bCs/>
              </w:rPr>
              <w:t>: une stabilité globale qui masque des trajectoires divergentes</w:t>
            </w:r>
          </w:p>
          <w:p w14:paraId="13088958" w14:textId="77777777" w:rsidR="00976C1F" w:rsidRPr="00260823" w:rsidRDefault="00976C1F" w:rsidP="00976C1F">
            <w:pPr>
              <w:spacing w:line="240" w:lineRule="auto"/>
              <w:jc w:val="both"/>
              <w:rPr>
                <w:rFonts w:ascii="Aptos" w:hAnsi="Aptos"/>
                <w:sz w:val="22"/>
                <w:szCs w:val="22"/>
              </w:rPr>
            </w:pPr>
          </w:p>
          <w:p w14:paraId="5FA13B4B" w14:textId="0FBB6AB9" w:rsidR="00976C1F" w:rsidRDefault="00976C1F" w:rsidP="00D428ED">
            <w:pPr>
              <w:spacing w:line="240" w:lineRule="auto"/>
              <w:jc w:val="both"/>
              <w:rPr>
                <w:rFonts w:ascii="Aptos" w:hAnsi="Aptos"/>
                <w:b/>
                <w:bCs/>
                <w:sz w:val="22"/>
                <w:szCs w:val="22"/>
              </w:rPr>
            </w:pPr>
            <w:r w:rsidRPr="00985A29">
              <w:rPr>
                <w:rFonts w:ascii="Aptos" w:hAnsi="Aptos"/>
                <w:b/>
                <w:bCs/>
                <w:sz w:val="22"/>
                <w:szCs w:val="22"/>
              </w:rPr>
              <w:t>Avec 569 défaillances enregistrées au deuxième trimestre 2026, le secteur de l'information et de la communication affiche une stabilité (572 procédures</w:t>
            </w:r>
            <w:r w:rsidR="00360F0F">
              <w:rPr>
                <w:rFonts w:ascii="Aptos" w:hAnsi="Aptos"/>
                <w:b/>
                <w:bCs/>
                <w:sz w:val="22"/>
                <w:szCs w:val="22"/>
              </w:rPr>
              <w:t xml:space="preserve"> en 2025</w:t>
            </w:r>
            <w:r w:rsidRPr="00985A29">
              <w:rPr>
                <w:rFonts w:ascii="Aptos" w:hAnsi="Aptos"/>
                <w:b/>
                <w:bCs/>
                <w:sz w:val="22"/>
                <w:szCs w:val="22"/>
              </w:rPr>
              <w:t>, soit -0,5 %)</w:t>
            </w:r>
            <w:r w:rsidR="00D428ED" w:rsidRPr="00985A29">
              <w:rPr>
                <w:rFonts w:ascii="Aptos" w:hAnsi="Aptos"/>
                <w:b/>
                <w:bCs/>
                <w:sz w:val="22"/>
                <w:szCs w:val="22"/>
              </w:rPr>
              <w:t xml:space="preserve"> qui </w:t>
            </w:r>
            <w:r w:rsidRPr="00985A29">
              <w:rPr>
                <w:rFonts w:ascii="Aptos" w:hAnsi="Aptos"/>
                <w:b/>
                <w:bCs/>
                <w:sz w:val="22"/>
                <w:szCs w:val="22"/>
              </w:rPr>
              <w:t xml:space="preserve">tranche avec les difficultés observées dans </w:t>
            </w:r>
            <w:r w:rsidR="00D428ED" w:rsidRPr="00985A29">
              <w:rPr>
                <w:rFonts w:ascii="Aptos" w:hAnsi="Aptos"/>
                <w:b/>
                <w:bCs/>
                <w:sz w:val="22"/>
                <w:szCs w:val="22"/>
              </w:rPr>
              <w:t>les autres activités</w:t>
            </w:r>
            <w:r w:rsidRPr="00985A29">
              <w:rPr>
                <w:rFonts w:ascii="Aptos" w:hAnsi="Aptos"/>
                <w:b/>
                <w:bCs/>
                <w:sz w:val="22"/>
                <w:szCs w:val="22"/>
              </w:rPr>
              <w:t xml:space="preserve"> de services. </w:t>
            </w:r>
          </w:p>
          <w:p w14:paraId="730C7849" w14:textId="77777777" w:rsidR="00985A29" w:rsidRPr="00985A29" w:rsidRDefault="00985A29" w:rsidP="00D428ED">
            <w:pPr>
              <w:spacing w:line="240" w:lineRule="auto"/>
              <w:jc w:val="both"/>
              <w:rPr>
                <w:rFonts w:ascii="Aptos" w:hAnsi="Aptos"/>
                <w:b/>
                <w:bCs/>
                <w:sz w:val="22"/>
                <w:szCs w:val="22"/>
              </w:rPr>
            </w:pPr>
          </w:p>
          <w:p w14:paraId="7D97DC33" w14:textId="32D6425D" w:rsidR="00D428ED" w:rsidRPr="00260823" w:rsidRDefault="00D428ED" w:rsidP="00D428ED">
            <w:pPr>
              <w:spacing w:line="240" w:lineRule="auto"/>
              <w:jc w:val="both"/>
              <w:rPr>
                <w:rFonts w:ascii="Aptos" w:hAnsi="Aptos"/>
                <w:sz w:val="22"/>
                <w:szCs w:val="22"/>
              </w:rPr>
            </w:pPr>
            <w:r w:rsidRPr="00260823">
              <w:rPr>
                <w:rFonts w:ascii="Aptos" w:hAnsi="Aptos"/>
                <w:sz w:val="22"/>
                <w:szCs w:val="22"/>
              </w:rPr>
              <w:t>Cependant, l</w:t>
            </w:r>
            <w:r w:rsidR="00976C1F" w:rsidRPr="00260823">
              <w:rPr>
                <w:rFonts w:ascii="Aptos" w:hAnsi="Aptos"/>
                <w:sz w:val="22"/>
                <w:szCs w:val="22"/>
              </w:rPr>
              <w:t xml:space="preserve">es </w:t>
            </w:r>
            <w:r w:rsidR="00976C1F" w:rsidRPr="00260823">
              <w:rPr>
                <w:rFonts w:ascii="Aptos" w:hAnsi="Aptos"/>
                <w:b/>
                <w:bCs/>
                <w:color w:val="FF0000"/>
                <w:sz w:val="22"/>
                <w:szCs w:val="22"/>
              </w:rPr>
              <w:t>services informatiques</w:t>
            </w:r>
            <w:r w:rsidR="00976C1F" w:rsidRPr="00260823">
              <w:rPr>
                <w:rFonts w:ascii="Aptos" w:hAnsi="Aptos"/>
                <w:color w:val="FF0000"/>
                <w:sz w:val="22"/>
                <w:szCs w:val="22"/>
              </w:rPr>
              <w:t xml:space="preserve"> </w:t>
            </w:r>
            <w:r w:rsidR="00976C1F" w:rsidRPr="00260823">
              <w:rPr>
                <w:rFonts w:ascii="Aptos" w:hAnsi="Aptos"/>
                <w:sz w:val="22"/>
                <w:szCs w:val="22"/>
              </w:rPr>
              <w:t xml:space="preserve">et l'édition de logiciels </w:t>
            </w:r>
            <w:r w:rsidRPr="00260823">
              <w:rPr>
                <w:rFonts w:ascii="Aptos" w:hAnsi="Aptos"/>
                <w:sz w:val="22"/>
                <w:szCs w:val="22"/>
              </w:rPr>
              <w:t>accusent une légère dégradation (</w:t>
            </w:r>
            <w:r w:rsidR="00976C1F" w:rsidRPr="00260823">
              <w:rPr>
                <w:rFonts w:ascii="Aptos" w:hAnsi="Aptos"/>
                <w:sz w:val="22"/>
                <w:szCs w:val="22"/>
              </w:rPr>
              <w:t>+2,3 %</w:t>
            </w:r>
            <w:r w:rsidRPr="00260823">
              <w:rPr>
                <w:rFonts w:ascii="Aptos" w:hAnsi="Aptos"/>
                <w:sz w:val="22"/>
                <w:szCs w:val="22"/>
              </w:rPr>
              <w:t xml:space="preserve">) amortie par </w:t>
            </w:r>
            <w:r w:rsidRPr="00985A29">
              <w:rPr>
                <w:rFonts w:ascii="Aptos" w:hAnsi="Aptos"/>
                <w:b/>
                <w:bCs/>
                <w:color w:val="FF0000"/>
                <w:sz w:val="22"/>
                <w:szCs w:val="22"/>
              </w:rPr>
              <w:t>les activités de conseil en systèmes informatiques</w:t>
            </w:r>
            <w:r w:rsidRPr="00260823">
              <w:rPr>
                <w:rFonts w:ascii="Aptos" w:hAnsi="Aptos"/>
                <w:sz w:val="22"/>
                <w:szCs w:val="22"/>
              </w:rPr>
              <w:t xml:space="preserve"> (+2%)</w:t>
            </w:r>
            <w:r w:rsidR="00985A29">
              <w:rPr>
                <w:rFonts w:ascii="Aptos" w:hAnsi="Aptos"/>
                <w:sz w:val="22"/>
                <w:szCs w:val="22"/>
              </w:rPr>
              <w:t xml:space="preserve"> ; </w:t>
            </w:r>
            <w:r w:rsidRPr="00260823">
              <w:rPr>
                <w:rFonts w:ascii="Aptos" w:hAnsi="Aptos"/>
                <w:sz w:val="22"/>
                <w:szCs w:val="22"/>
              </w:rPr>
              <w:t xml:space="preserve">la hausse est encore sévère pour la </w:t>
            </w:r>
            <w:r w:rsidRPr="00985A29">
              <w:rPr>
                <w:rFonts w:ascii="Aptos" w:hAnsi="Aptos"/>
                <w:b/>
                <w:bCs/>
                <w:color w:val="FF0000"/>
                <w:sz w:val="22"/>
                <w:szCs w:val="22"/>
              </w:rPr>
              <w:t>programmation informatique</w:t>
            </w:r>
            <w:r w:rsidR="00985A29">
              <w:rPr>
                <w:rFonts w:ascii="Aptos" w:hAnsi="Aptos"/>
                <w:sz w:val="22"/>
                <w:szCs w:val="22"/>
              </w:rPr>
              <w:t xml:space="preserve"> </w:t>
            </w:r>
            <w:r w:rsidR="00985A29" w:rsidRPr="00260823">
              <w:rPr>
                <w:rFonts w:ascii="Aptos" w:hAnsi="Aptos"/>
                <w:sz w:val="22"/>
                <w:szCs w:val="22"/>
              </w:rPr>
              <w:t>(+8%)</w:t>
            </w:r>
            <w:r w:rsidRPr="00260823">
              <w:rPr>
                <w:rFonts w:ascii="Aptos" w:hAnsi="Aptos"/>
                <w:sz w:val="22"/>
                <w:szCs w:val="22"/>
              </w:rPr>
              <w:t xml:space="preserve">. </w:t>
            </w:r>
            <w:r w:rsidR="00976C1F" w:rsidRPr="00260823">
              <w:rPr>
                <w:rFonts w:ascii="Aptos" w:hAnsi="Aptos"/>
                <w:sz w:val="22"/>
                <w:szCs w:val="22"/>
              </w:rPr>
              <w:t xml:space="preserve">À l'inverse, les activités de </w:t>
            </w:r>
            <w:r w:rsidR="00976C1F" w:rsidRPr="00260823">
              <w:rPr>
                <w:rFonts w:ascii="Aptos" w:hAnsi="Aptos"/>
                <w:b/>
                <w:bCs/>
                <w:color w:val="00B050"/>
                <w:sz w:val="22"/>
                <w:szCs w:val="22"/>
              </w:rPr>
              <w:t>l'information</w:t>
            </w:r>
            <w:r w:rsidR="00976C1F" w:rsidRPr="00260823">
              <w:rPr>
                <w:rFonts w:ascii="Aptos" w:hAnsi="Aptos"/>
                <w:color w:val="00B050"/>
                <w:sz w:val="22"/>
                <w:szCs w:val="22"/>
              </w:rPr>
              <w:t xml:space="preserve"> </w:t>
            </w:r>
            <w:r w:rsidR="00976C1F" w:rsidRPr="00260823">
              <w:rPr>
                <w:rFonts w:ascii="Aptos" w:hAnsi="Aptos"/>
                <w:sz w:val="22"/>
                <w:szCs w:val="22"/>
              </w:rPr>
              <w:t xml:space="preserve">et de la </w:t>
            </w:r>
            <w:r w:rsidR="00976C1F" w:rsidRPr="00260823">
              <w:rPr>
                <w:rFonts w:ascii="Aptos" w:hAnsi="Aptos"/>
                <w:b/>
                <w:bCs/>
                <w:color w:val="00B050"/>
                <w:sz w:val="22"/>
                <w:szCs w:val="22"/>
              </w:rPr>
              <w:t>communication</w:t>
            </w:r>
            <w:r w:rsidR="00976C1F" w:rsidRPr="00260823">
              <w:rPr>
                <w:rFonts w:ascii="Aptos" w:hAnsi="Aptos"/>
                <w:color w:val="00B050"/>
                <w:sz w:val="22"/>
                <w:szCs w:val="22"/>
              </w:rPr>
              <w:t xml:space="preserve"> </w:t>
            </w:r>
            <w:r w:rsidR="00976C1F" w:rsidRPr="00260823">
              <w:rPr>
                <w:rFonts w:ascii="Aptos" w:hAnsi="Aptos"/>
                <w:sz w:val="22"/>
                <w:szCs w:val="22"/>
              </w:rPr>
              <w:t>voient leurs défaillances reculer (-</w:t>
            </w:r>
            <w:r w:rsidR="0001302B" w:rsidRPr="00260823">
              <w:rPr>
                <w:rFonts w:ascii="Aptos" w:hAnsi="Aptos"/>
                <w:sz w:val="22"/>
                <w:szCs w:val="22"/>
              </w:rPr>
              <w:t>6,6</w:t>
            </w:r>
            <w:r w:rsidR="00976C1F" w:rsidRPr="00260823">
              <w:rPr>
                <w:rFonts w:ascii="Aptos" w:hAnsi="Aptos"/>
                <w:sz w:val="22"/>
                <w:szCs w:val="22"/>
              </w:rPr>
              <w:t xml:space="preserve"> %)</w:t>
            </w:r>
            <w:r w:rsidRPr="00260823">
              <w:rPr>
                <w:rFonts w:ascii="Aptos" w:hAnsi="Aptos"/>
                <w:sz w:val="22"/>
                <w:szCs w:val="22"/>
              </w:rPr>
              <w:t xml:space="preserve"> à la faveur de bons chiffres dans la production de films institutionnels ou pour le cinéma, tandis que </w:t>
            </w:r>
            <w:r w:rsidR="00FC5051" w:rsidRPr="00260823">
              <w:rPr>
                <w:rFonts w:ascii="Aptos" w:hAnsi="Aptos"/>
                <w:sz w:val="22"/>
                <w:szCs w:val="22"/>
              </w:rPr>
              <w:t>celle destinée à</w:t>
            </w:r>
            <w:r w:rsidRPr="00260823">
              <w:rPr>
                <w:rFonts w:ascii="Aptos" w:hAnsi="Aptos"/>
                <w:sz w:val="22"/>
                <w:szCs w:val="22"/>
              </w:rPr>
              <w:t xml:space="preserve"> la télévision</w:t>
            </w:r>
            <w:r w:rsidR="00FC5051" w:rsidRPr="00260823">
              <w:rPr>
                <w:rFonts w:ascii="Aptos" w:hAnsi="Aptos"/>
                <w:sz w:val="22"/>
                <w:szCs w:val="22"/>
              </w:rPr>
              <w:t xml:space="preserve"> est plus en difficulté.</w:t>
            </w:r>
          </w:p>
          <w:p w14:paraId="5D83204E" w14:textId="77777777" w:rsidR="00D428ED" w:rsidRPr="00260823" w:rsidRDefault="00D428ED" w:rsidP="00976C1F">
            <w:pPr>
              <w:spacing w:line="240" w:lineRule="auto"/>
              <w:jc w:val="both"/>
              <w:rPr>
                <w:rFonts w:ascii="Aptos" w:hAnsi="Aptos"/>
                <w:sz w:val="22"/>
                <w:szCs w:val="22"/>
              </w:rPr>
            </w:pPr>
          </w:p>
          <w:p w14:paraId="46651D9B" w14:textId="2F103197" w:rsidR="00501599" w:rsidRPr="00260823" w:rsidRDefault="00C07846" w:rsidP="00501599">
            <w:pPr>
              <w:pStyle w:val="Paragraphedeliste"/>
              <w:numPr>
                <w:ilvl w:val="0"/>
                <w:numId w:val="6"/>
              </w:numPr>
              <w:spacing w:line="240" w:lineRule="auto"/>
              <w:jc w:val="both"/>
              <w:rPr>
                <w:rFonts w:ascii="Aptos" w:hAnsi="Aptos"/>
                <w:sz w:val="22"/>
                <w:szCs w:val="22"/>
              </w:rPr>
            </w:pPr>
            <w:r>
              <w:rPr>
                <w:rFonts w:ascii="Aptos" w:hAnsi="Aptos" w:cs="Arial"/>
                <w:b/>
                <w:bCs/>
              </w:rPr>
              <w:t>Transport</w:t>
            </w:r>
            <w:r w:rsidR="00501599" w:rsidRPr="00260823">
              <w:rPr>
                <w:rFonts w:ascii="Aptos" w:hAnsi="Aptos" w:cs="Arial"/>
                <w:b/>
                <w:bCs/>
              </w:rPr>
              <w:t xml:space="preserve"> : le fret </w:t>
            </w:r>
            <w:r w:rsidR="00F372A6" w:rsidRPr="00260823">
              <w:rPr>
                <w:rFonts w:ascii="Aptos" w:hAnsi="Aptos" w:cs="Arial"/>
                <w:b/>
                <w:bCs/>
              </w:rPr>
              <w:t>longues distances</w:t>
            </w:r>
            <w:r>
              <w:rPr>
                <w:rFonts w:ascii="Aptos" w:hAnsi="Aptos" w:cs="Arial"/>
                <w:b/>
                <w:bCs/>
              </w:rPr>
              <w:t xml:space="preserve"> en difficulté</w:t>
            </w:r>
          </w:p>
          <w:p w14:paraId="09E42B1D" w14:textId="77777777" w:rsidR="00F372A6" w:rsidRPr="00260823" w:rsidRDefault="00F372A6" w:rsidP="00F372A6">
            <w:pPr>
              <w:pStyle w:val="Paragraphedeliste"/>
              <w:spacing w:line="240" w:lineRule="auto"/>
              <w:jc w:val="both"/>
              <w:rPr>
                <w:rFonts w:ascii="Aptos" w:hAnsi="Aptos"/>
                <w:sz w:val="22"/>
                <w:szCs w:val="22"/>
              </w:rPr>
            </w:pPr>
          </w:p>
          <w:p w14:paraId="1EE9B9B9" w14:textId="77777777" w:rsidR="002957A8" w:rsidRDefault="0066459D" w:rsidP="0008477C">
            <w:pPr>
              <w:spacing w:line="240" w:lineRule="auto"/>
              <w:jc w:val="both"/>
              <w:rPr>
                <w:rFonts w:ascii="Aptos" w:hAnsi="Aptos"/>
                <w:sz w:val="22"/>
                <w:szCs w:val="22"/>
              </w:rPr>
            </w:pPr>
            <w:r w:rsidRPr="002957A8">
              <w:rPr>
                <w:rFonts w:ascii="Aptos" w:hAnsi="Aptos"/>
                <w:b/>
                <w:bCs/>
                <w:sz w:val="22"/>
                <w:szCs w:val="22"/>
              </w:rPr>
              <w:t>Les difficultés demeurent importantes dans le transport routier de marchandises</w:t>
            </w:r>
            <w:r w:rsidR="002957A8" w:rsidRPr="002957A8">
              <w:rPr>
                <w:rFonts w:ascii="Aptos" w:hAnsi="Aptos"/>
                <w:b/>
                <w:bCs/>
                <w:sz w:val="22"/>
                <w:szCs w:val="22"/>
              </w:rPr>
              <w:t xml:space="preserve"> même si l</w:t>
            </w:r>
            <w:r w:rsidRPr="002957A8">
              <w:rPr>
                <w:rFonts w:ascii="Aptos" w:hAnsi="Aptos"/>
                <w:b/>
                <w:bCs/>
                <w:sz w:val="22"/>
                <w:szCs w:val="22"/>
              </w:rPr>
              <w:t xml:space="preserve">e nombre de défaillances </w:t>
            </w:r>
            <w:r w:rsidR="0008477C" w:rsidRPr="002957A8">
              <w:rPr>
                <w:rFonts w:ascii="Aptos" w:hAnsi="Aptos"/>
                <w:b/>
                <w:bCs/>
                <w:sz w:val="22"/>
                <w:szCs w:val="22"/>
              </w:rPr>
              <w:t>(439) recule de 2%.</w:t>
            </w:r>
            <w:r w:rsidR="00501599" w:rsidRPr="00260823">
              <w:rPr>
                <w:rFonts w:ascii="Aptos" w:hAnsi="Aptos"/>
                <w:sz w:val="22"/>
                <w:szCs w:val="22"/>
              </w:rPr>
              <w:t xml:space="preserve"> </w:t>
            </w:r>
          </w:p>
          <w:p w14:paraId="29AA8928" w14:textId="77777777" w:rsidR="00F27A0D" w:rsidRDefault="00F27A0D" w:rsidP="0008477C">
            <w:pPr>
              <w:spacing w:line="240" w:lineRule="auto"/>
              <w:jc w:val="both"/>
              <w:rPr>
                <w:rFonts w:ascii="Aptos" w:hAnsi="Aptos"/>
                <w:sz w:val="22"/>
                <w:szCs w:val="22"/>
              </w:rPr>
            </w:pPr>
          </w:p>
          <w:p w14:paraId="684C0512" w14:textId="688B14A0" w:rsidR="00501599" w:rsidRPr="00260823" w:rsidRDefault="00501599" w:rsidP="0008477C">
            <w:pPr>
              <w:spacing w:line="240" w:lineRule="auto"/>
              <w:jc w:val="both"/>
              <w:rPr>
                <w:rFonts w:ascii="Aptos" w:hAnsi="Aptos"/>
                <w:sz w:val="22"/>
                <w:szCs w:val="22"/>
              </w:rPr>
            </w:pPr>
            <w:r w:rsidRPr="00260823">
              <w:rPr>
                <w:rFonts w:ascii="Aptos" w:hAnsi="Aptos"/>
                <w:sz w:val="22"/>
                <w:szCs w:val="22"/>
              </w:rPr>
              <w:t xml:space="preserve">Le transport routier de </w:t>
            </w:r>
            <w:r w:rsidRPr="00260823">
              <w:rPr>
                <w:rFonts w:ascii="Aptos" w:hAnsi="Aptos"/>
                <w:b/>
                <w:bCs/>
                <w:color w:val="FF0000"/>
                <w:sz w:val="22"/>
                <w:szCs w:val="22"/>
              </w:rPr>
              <w:t>fret interurbain</w:t>
            </w:r>
            <w:r w:rsidRPr="00260823">
              <w:rPr>
                <w:rFonts w:ascii="Aptos" w:hAnsi="Aptos"/>
                <w:color w:val="FF0000"/>
                <w:sz w:val="22"/>
                <w:szCs w:val="22"/>
              </w:rPr>
              <w:t xml:space="preserve"> </w:t>
            </w:r>
            <w:r w:rsidR="0008477C" w:rsidRPr="00260823">
              <w:rPr>
                <w:rFonts w:ascii="Aptos" w:hAnsi="Aptos"/>
                <w:sz w:val="22"/>
                <w:szCs w:val="22"/>
              </w:rPr>
              <w:t>enregistre</w:t>
            </w:r>
            <w:r w:rsidRPr="00260823">
              <w:rPr>
                <w:rFonts w:ascii="Aptos" w:hAnsi="Aptos"/>
                <w:sz w:val="22"/>
                <w:szCs w:val="22"/>
              </w:rPr>
              <w:t xml:space="preserve"> 196 défaillances, en hausse de +8,9 % sur un an. Le </w:t>
            </w:r>
            <w:r w:rsidRPr="00260823">
              <w:rPr>
                <w:rFonts w:ascii="Aptos" w:hAnsi="Aptos"/>
                <w:b/>
                <w:bCs/>
                <w:color w:val="00B050"/>
                <w:sz w:val="22"/>
                <w:szCs w:val="22"/>
              </w:rPr>
              <w:t>fret de proximité</w:t>
            </w:r>
            <w:r w:rsidRPr="00260823">
              <w:rPr>
                <w:rFonts w:ascii="Aptos" w:hAnsi="Aptos"/>
                <w:color w:val="00B050"/>
                <w:sz w:val="22"/>
                <w:szCs w:val="22"/>
              </w:rPr>
              <w:t xml:space="preserve"> </w:t>
            </w:r>
            <w:r w:rsidR="0008477C" w:rsidRPr="00260823">
              <w:rPr>
                <w:rFonts w:ascii="Aptos" w:hAnsi="Aptos"/>
                <w:sz w:val="22"/>
                <w:szCs w:val="22"/>
              </w:rPr>
              <w:t>reste</w:t>
            </w:r>
            <w:r w:rsidRPr="00260823">
              <w:rPr>
                <w:rFonts w:ascii="Aptos" w:hAnsi="Aptos"/>
                <w:sz w:val="22"/>
                <w:szCs w:val="22"/>
              </w:rPr>
              <w:t xml:space="preserve"> le segment le plus touché en volume avec 223 procédures, </w:t>
            </w:r>
            <w:r w:rsidR="0008477C" w:rsidRPr="00260823">
              <w:rPr>
                <w:rFonts w:ascii="Aptos" w:hAnsi="Aptos"/>
                <w:sz w:val="22"/>
                <w:szCs w:val="22"/>
              </w:rPr>
              <w:t>mais</w:t>
            </w:r>
            <w:r w:rsidRPr="00260823">
              <w:rPr>
                <w:rFonts w:ascii="Aptos" w:hAnsi="Aptos"/>
                <w:sz w:val="22"/>
                <w:szCs w:val="22"/>
              </w:rPr>
              <w:t xml:space="preserve"> la tendance s'améliore </w:t>
            </w:r>
            <w:r w:rsidR="0008477C" w:rsidRPr="00260823">
              <w:rPr>
                <w:rFonts w:ascii="Aptos" w:hAnsi="Aptos"/>
                <w:sz w:val="22"/>
                <w:szCs w:val="22"/>
              </w:rPr>
              <w:t>très rapidement</w:t>
            </w:r>
            <w:r w:rsidRPr="00260823">
              <w:rPr>
                <w:rFonts w:ascii="Aptos" w:hAnsi="Aptos"/>
                <w:sz w:val="22"/>
                <w:szCs w:val="22"/>
              </w:rPr>
              <w:t xml:space="preserve"> (-10,4 %</w:t>
            </w:r>
            <w:r w:rsidR="0008477C" w:rsidRPr="00260823">
              <w:rPr>
                <w:rFonts w:ascii="Aptos" w:hAnsi="Aptos"/>
                <w:sz w:val="22"/>
                <w:szCs w:val="22"/>
              </w:rPr>
              <w:t>).</w:t>
            </w:r>
          </w:p>
          <w:p w14:paraId="26A57A51" w14:textId="121800DE" w:rsidR="0008477C" w:rsidRPr="00260823" w:rsidRDefault="0008477C" w:rsidP="0008477C">
            <w:pPr>
              <w:spacing w:line="240" w:lineRule="auto"/>
              <w:jc w:val="both"/>
              <w:rPr>
                <w:rFonts w:ascii="Aptos" w:hAnsi="Aptos"/>
                <w:sz w:val="22"/>
                <w:szCs w:val="22"/>
              </w:rPr>
            </w:pPr>
            <w:r w:rsidRPr="00021FE2">
              <w:rPr>
                <w:rFonts w:ascii="Aptos" w:hAnsi="Aptos"/>
                <w:sz w:val="22"/>
                <w:szCs w:val="22"/>
              </w:rPr>
              <w:t xml:space="preserve">Dans le transport routier de voyageurs, les </w:t>
            </w:r>
            <w:r w:rsidR="00F56CAE" w:rsidRPr="00021FE2">
              <w:rPr>
                <w:rFonts w:ascii="Aptos" w:hAnsi="Aptos"/>
                <w:sz w:val="22"/>
                <w:szCs w:val="22"/>
              </w:rPr>
              <w:t xml:space="preserve">défauts </w:t>
            </w:r>
            <w:r w:rsidRPr="00021FE2">
              <w:rPr>
                <w:rFonts w:ascii="Aptos" w:hAnsi="Aptos"/>
                <w:sz w:val="22"/>
                <w:szCs w:val="22"/>
              </w:rPr>
              <w:t xml:space="preserve">se concentrent très largement sur les activités de </w:t>
            </w:r>
            <w:r w:rsidRPr="00021FE2">
              <w:rPr>
                <w:rFonts w:ascii="Aptos" w:hAnsi="Aptos"/>
                <w:b/>
                <w:bCs/>
                <w:color w:val="FF0000"/>
                <w:sz w:val="22"/>
                <w:szCs w:val="22"/>
              </w:rPr>
              <w:t>taxis</w:t>
            </w:r>
            <w:r w:rsidRPr="00021FE2">
              <w:rPr>
                <w:rFonts w:ascii="Aptos" w:hAnsi="Aptos"/>
                <w:strike/>
                <w:color w:val="FF0000"/>
                <w:sz w:val="22"/>
                <w:szCs w:val="22"/>
              </w:rPr>
              <w:t>.</w:t>
            </w:r>
            <w:r w:rsidRPr="00021FE2">
              <w:rPr>
                <w:rFonts w:ascii="Aptos" w:hAnsi="Aptos"/>
                <w:color w:val="FF0000"/>
                <w:sz w:val="22"/>
                <w:szCs w:val="22"/>
              </w:rPr>
              <w:t xml:space="preserve"> </w:t>
            </w:r>
            <w:r w:rsidRPr="00021FE2">
              <w:rPr>
                <w:rFonts w:ascii="Aptos" w:hAnsi="Aptos"/>
                <w:sz w:val="22"/>
                <w:szCs w:val="22"/>
              </w:rPr>
              <w:t>Le niveau observé (</w:t>
            </w:r>
            <w:r w:rsidR="00F56CAE" w:rsidRPr="00021FE2">
              <w:rPr>
                <w:rFonts w:ascii="Aptos" w:hAnsi="Aptos"/>
                <w:sz w:val="22"/>
                <w:szCs w:val="22"/>
              </w:rPr>
              <w:t>254</w:t>
            </w:r>
            <w:r w:rsidRPr="00021FE2">
              <w:rPr>
                <w:rFonts w:ascii="Aptos" w:hAnsi="Aptos"/>
                <w:sz w:val="22"/>
                <w:szCs w:val="22"/>
              </w:rPr>
              <w:t>) est plus de deux fois supérieur à celui relevé avant la crise sanitaire.</w:t>
            </w:r>
            <w:r w:rsidRPr="00260823">
              <w:rPr>
                <w:rFonts w:ascii="Aptos" w:hAnsi="Aptos"/>
                <w:sz w:val="22"/>
                <w:szCs w:val="22"/>
              </w:rPr>
              <w:t xml:space="preserve"> </w:t>
            </w:r>
          </w:p>
          <w:p w14:paraId="6E751870" w14:textId="2563DAA9" w:rsidR="0008477C" w:rsidRPr="00260823" w:rsidRDefault="0008477C" w:rsidP="0008477C">
            <w:pPr>
              <w:spacing w:line="240" w:lineRule="auto"/>
              <w:jc w:val="both"/>
              <w:rPr>
                <w:rFonts w:ascii="Aptos" w:hAnsi="Aptos"/>
                <w:sz w:val="22"/>
                <w:szCs w:val="22"/>
              </w:rPr>
            </w:pPr>
            <w:r w:rsidRPr="00260823">
              <w:rPr>
                <w:rFonts w:ascii="Aptos" w:hAnsi="Aptos"/>
                <w:sz w:val="22"/>
                <w:szCs w:val="22"/>
              </w:rPr>
              <w:t xml:space="preserve">Dans les autres activités de transport, la </w:t>
            </w:r>
            <w:r w:rsidRPr="00260823">
              <w:rPr>
                <w:rFonts w:ascii="Aptos" w:hAnsi="Aptos"/>
                <w:b/>
                <w:bCs/>
                <w:color w:val="00B050"/>
                <w:sz w:val="22"/>
                <w:szCs w:val="22"/>
              </w:rPr>
              <w:t>livraison à domicile,</w:t>
            </w:r>
            <w:r w:rsidRPr="00260823">
              <w:rPr>
                <w:rFonts w:ascii="Aptos" w:hAnsi="Aptos"/>
                <w:color w:val="00B050"/>
                <w:sz w:val="22"/>
                <w:szCs w:val="22"/>
              </w:rPr>
              <w:t xml:space="preserve"> </w:t>
            </w:r>
            <w:r w:rsidRPr="00260823">
              <w:rPr>
                <w:rFonts w:ascii="Aptos" w:hAnsi="Aptos"/>
                <w:sz w:val="22"/>
                <w:szCs w:val="22"/>
              </w:rPr>
              <w:t xml:space="preserve">qui concentre </w:t>
            </w:r>
            <w:r w:rsidR="00360F0F" w:rsidRPr="00260823">
              <w:rPr>
                <w:rFonts w:ascii="Aptos" w:hAnsi="Aptos"/>
                <w:sz w:val="22"/>
                <w:szCs w:val="22"/>
              </w:rPr>
              <w:t>près</w:t>
            </w:r>
            <w:r w:rsidRPr="00260823">
              <w:rPr>
                <w:rFonts w:ascii="Aptos" w:hAnsi="Aptos"/>
                <w:sz w:val="22"/>
                <w:szCs w:val="22"/>
              </w:rPr>
              <w:t xml:space="preserve"> de la moitié des défauts</w:t>
            </w:r>
            <w:r w:rsidR="00F27A0D">
              <w:rPr>
                <w:rFonts w:ascii="Aptos" w:hAnsi="Aptos"/>
                <w:sz w:val="22"/>
                <w:szCs w:val="22"/>
              </w:rPr>
              <w:t>,</w:t>
            </w:r>
            <w:r w:rsidRPr="00260823">
              <w:rPr>
                <w:rFonts w:ascii="Aptos" w:hAnsi="Aptos"/>
                <w:sz w:val="22"/>
                <w:szCs w:val="22"/>
              </w:rPr>
              <w:t xml:space="preserve"> recule en comparaison d’un </w:t>
            </w:r>
            <w:r w:rsidR="00F27A0D">
              <w:rPr>
                <w:rFonts w:ascii="Aptos" w:hAnsi="Aptos"/>
                <w:sz w:val="22"/>
                <w:szCs w:val="22"/>
              </w:rPr>
              <w:t xml:space="preserve">T2 </w:t>
            </w:r>
            <w:r w:rsidRPr="00260823">
              <w:rPr>
                <w:rFonts w:ascii="Aptos" w:hAnsi="Aptos"/>
                <w:sz w:val="22"/>
                <w:szCs w:val="22"/>
              </w:rPr>
              <w:t xml:space="preserve">2025 qui avait été très </w:t>
            </w:r>
            <w:r w:rsidR="00F27A0D">
              <w:rPr>
                <w:rFonts w:ascii="Aptos" w:hAnsi="Aptos"/>
                <w:sz w:val="22"/>
                <w:szCs w:val="22"/>
              </w:rPr>
              <w:t>sinistré</w:t>
            </w:r>
            <w:r w:rsidRPr="00260823">
              <w:rPr>
                <w:rFonts w:ascii="Aptos" w:hAnsi="Aptos"/>
                <w:sz w:val="22"/>
                <w:szCs w:val="22"/>
              </w:rPr>
              <w:t xml:space="preserve">.  </w:t>
            </w:r>
          </w:p>
          <w:p w14:paraId="74DCE20F" w14:textId="77777777" w:rsidR="0008477C" w:rsidRPr="00260823" w:rsidRDefault="0008477C" w:rsidP="0008477C">
            <w:pPr>
              <w:spacing w:line="240" w:lineRule="auto"/>
              <w:jc w:val="both"/>
              <w:rPr>
                <w:rFonts w:ascii="Aptos" w:hAnsi="Aptos"/>
                <w:sz w:val="22"/>
                <w:szCs w:val="22"/>
              </w:rPr>
            </w:pPr>
          </w:p>
          <w:p w14:paraId="06FC2577" w14:textId="610133CC" w:rsidR="00A23E8E" w:rsidRPr="00260823" w:rsidRDefault="00A23E8E" w:rsidP="00A23E8E">
            <w:pPr>
              <w:pStyle w:val="Paragraphedeliste"/>
              <w:numPr>
                <w:ilvl w:val="0"/>
                <w:numId w:val="6"/>
              </w:numPr>
              <w:spacing w:line="240" w:lineRule="auto"/>
              <w:jc w:val="both"/>
              <w:rPr>
                <w:rFonts w:ascii="Aptos" w:hAnsi="Aptos"/>
                <w:sz w:val="22"/>
                <w:szCs w:val="22"/>
              </w:rPr>
            </w:pPr>
            <w:r w:rsidRPr="00260823">
              <w:rPr>
                <w:rFonts w:ascii="Aptos" w:hAnsi="Aptos" w:cs="Arial"/>
                <w:b/>
                <w:bCs/>
              </w:rPr>
              <w:t>S</w:t>
            </w:r>
            <w:r w:rsidR="00C07846">
              <w:rPr>
                <w:rFonts w:ascii="Aptos" w:hAnsi="Aptos" w:cs="Arial"/>
                <w:b/>
                <w:bCs/>
              </w:rPr>
              <w:t xml:space="preserve">ervices aux consommateurs </w:t>
            </w:r>
            <w:r w:rsidRPr="00260823">
              <w:rPr>
                <w:rFonts w:ascii="Aptos" w:hAnsi="Aptos" w:cs="Arial"/>
                <w:b/>
                <w:bCs/>
              </w:rPr>
              <w:t xml:space="preserve">: </w:t>
            </w:r>
            <w:r w:rsidR="009F4F29" w:rsidRPr="00260823">
              <w:rPr>
                <w:rFonts w:ascii="Aptos" w:hAnsi="Aptos" w:cs="Arial"/>
                <w:b/>
                <w:bCs/>
              </w:rPr>
              <w:t>de</w:t>
            </w:r>
            <w:r w:rsidRPr="00260823">
              <w:rPr>
                <w:rFonts w:ascii="Aptos" w:hAnsi="Aptos" w:cs="Arial"/>
                <w:b/>
                <w:bCs/>
              </w:rPr>
              <w:t xml:space="preserve"> vives </w:t>
            </w:r>
            <w:r w:rsidR="009F4F29" w:rsidRPr="00260823">
              <w:rPr>
                <w:rFonts w:ascii="Aptos" w:hAnsi="Aptos" w:cs="Arial"/>
                <w:b/>
                <w:bCs/>
              </w:rPr>
              <w:t>tensions</w:t>
            </w:r>
          </w:p>
          <w:p w14:paraId="55E927D7" w14:textId="77777777" w:rsidR="005324FA" w:rsidRPr="00260823" w:rsidRDefault="005324FA" w:rsidP="005324FA">
            <w:pPr>
              <w:spacing w:line="240" w:lineRule="auto"/>
              <w:jc w:val="both"/>
              <w:rPr>
                <w:rFonts w:ascii="Aptos" w:hAnsi="Aptos"/>
                <w:sz w:val="22"/>
                <w:szCs w:val="22"/>
              </w:rPr>
            </w:pPr>
          </w:p>
          <w:p w14:paraId="5D2B36F1" w14:textId="4868CFB8" w:rsidR="00A23E8E" w:rsidRDefault="00A23E8E" w:rsidP="00A23E8E">
            <w:pPr>
              <w:spacing w:line="240" w:lineRule="auto"/>
              <w:jc w:val="both"/>
              <w:rPr>
                <w:rFonts w:ascii="Aptos" w:hAnsi="Aptos"/>
                <w:b/>
                <w:bCs/>
                <w:sz w:val="22"/>
                <w:szCs w:val="22"/>
              </w:rPr>
            </w:pPr>
            <w:r w:rsidRPr="003A7DBB">
              <w:rPr>
                <w:rFonts w:ascii="Aptos" w:hAnsi="Aptos"/>
                <w:b/>
                <w:bCs/>
                <w:sz w:val="22"/>
                <w:szCs w:val="22"/>
              </w:rPr>
              <w:lastRenderedPageBreak/>
              <w:t xml:space="preserve">Les services aux consommateurs enregistrent une nette dégradation au deuxième trimestre 2026. Le secteur totalise 811 défaillances, </w:t>
            </w:r>
            <w:r w:rsidR="003A7DBB" w:rsidRPr="003A7DBB">
              <w:rPr>
                <w:rFonts w:ascii="Aptos" w:hAnsi="Aptos"/>
                <w:b/>
                <w:bCs/>
                <w:sz w:val="22"/>
                <w:szCs w:val="22"/>
              </w:rPr>
              <w:t xml:space="preserve">en </w:t>
            </w:r>
            <w:r w:rsidRPr="003A7DBB">
              <w:rPr>
                <w:rFonts w:ascii="Aptos" w:hAnsi="Aptos"/>
                <w:b/>
                <w:bCs/>
                <w:sz w:val="22"/>
                <w:szCs w:val="22"/>
              </w:rPr>
              <w:t>hausse de +15,</w:t>
            </w:r>
            <w:r w:rsidR="00802952" w:rsidRPr="003A7DBB">
              <w:rPr>
                <w:rFonts w:ascii="Aptos" w:hAnsi="Aptos"/>
                <w:b/>
                <w:bCs/>
                <w:sz w:val="22"/>
                <w:szCs w:val="22"/>
              </w:rPr>
              <w:t>7</w:t>
            </w:r>
            <w:r w:rsidRPr="003A7DBB">
              <w:rPr>
                <w:rFonts w:ascii="Aptos" w:hAnsi="Aptos"/>
                <w:b/>
                <w:bCs/>
                <w:sz w:val="22"/>
                <w:szCs w:val="22"/>
              </w:rPr>
              <w:t xml:space="preserve"> %. Cette progression est d’autant plus notable qu’elle touche presque toutes les activités.</w:t>
            </w:r>
          </w:p>
          <w:p w14:paraId="24AB51DF" w14:textId="77777777" w:rsidR="003A7DBB" w:rsidRPr="003A7DBB" w:rsidRDefault="003A7DBB" w:rsidP="00A23E8E">
            <w:pPr>
              <w:spacing w:line="240" w:lineRule="auto"/>
              <w:jc w:val="both"/>
              <w:rPr>
                <w:rFonts w:ascii="Aptos" w:hAnsi="Aptos"/>
                <w:b/>
                <w:bCs/>
                <w:sz w:val="22"/>
                <w:szCs w:val="22"/>
              </w:rPr>
            </w:pPr>
          </w:p>
          <w:p w14:paraId="2D332117" w14:textId="21E41F34" w:rsidR="00A23E8E" w:rsidRPr="00260823" w:rsidRDefault="00A23E8E" w:rsidP="004E7A56">
            <w:pPr>
              <w:spacing w:line="240" w:lineRule="auto"/>
              <w:jc w:val="both"/>
              <w:rPr>
                <w:rFonts w:ascii="Aptos" w:hAnsi="Aptos"/>
                <w:sz w:val="22"/>
                <w:szCs w:val="22"/>
              </w:rPr>
            </w:pPr>
            <w:r w:rsidRPr="00260823">
              <w:rPr>
                <w:rFonts w:ascii="Aptos" w:hAnsi="Aptos"/>
                <w:sz w:val="22"/>
                <w:szCs w:val="22"/>
              </w:rPr>
              <w:t xml:space="preserve">Le cœur du secteur reste constitué par les coiffeurs, soins de beauté et activités corporelles, qui concentrent 567 procédures, en hausse de +14,3 %. La </w:t>
            </w:r>
            <w:r w:rsidRPr="00260823">
              <w:rPr>
                <w:rFonts w:ascii="Aptos" w:hAnsi="Aptos"/>
                <w:b/>
                <w:bCs/>
                <w:color w:val="FF0000"/>
                <w:sz w:val="22"/>
                <w:szCs w:val="22"/>
              </w:rPr>
              <w:t>coiffure</w:t>
            </w:r>
            <w:r w:rsidRPr="00260823">
              <w:rPr>
                <w:rFonts w:ascii="Aptos" w:hAnsi="Aptos"/>
                <w:color w:val="FF0000"/>
                <w:sz w:val="22"/>
                <w:szCs w:val="22"/>
              </w:rPr>
              <w:t xml:space="preserve"> </w:t>
            </w:r>
            <w:r w:rsidRPr="00260823">
              <w:rPr>
                <w:rFonts w:ascii="Aptos" w:hAnsi="Aptos"/>
                <w:sz w:val="22"/>
                <w:szCs w:val="22"/>
              </w:rPr>
              <w:t>demeure l’activité la plus exposée en volume avec 312 défaillances (+12,2 %). L</w:t>
            </w:r>
            <w:r w:rsidR="004E7A56" w:rsidRPr="00260823">
              <w:rPr>
                <w:rFonts w:ascii="Aptos" w:hAnsi="Aptos"/>
                <w:sz w:val="22"/>
                <w:szCs w:val="22"/>
              </w:rPr>
              <w:t xml:space="preserve">a dégradation est plus modérée pour les </w:t>
            </w:r>
            <w:r w:rsidR="006A5072" w:rsidRPr="00260823">
              <w:rPr>
                <w:rFonts w:ascii="Aptos" w:hAnsi="Aptos"/>
                <w:b/>
                <w:bCs/>
                <w:color w:val="FF0000"/>
                <w:sz w:val="22"/>
                <w:szCs w:val="22"/>
              </w:rPr>
              <w:t>instituts</w:t>
            </w:r>
            <w:r w:rsidRPr="00260823">
              <w:rPr>
                <w:rFonts w:ascii="Aptos" w:hAnsi="Aptos"/>
                <w:b/>
                <w:bCs/>
                <w:color w:val="FF0000"/>
                <w:sz w:val="22"/>
                <w:szCs w:val="22"/>
              </w:rPr>
              <w:t xml:space="preserve"> de beauté</w:t>
            </w:r>
            <w:r w:rsidRPr="00260823">
              <w:rPr>
                <w:rFonts w:ascii="Aptos" w:hAnsi="Aptos"/>
                <w:color w:val="FF0000"/>
                <w:sz w:val="22"/>
                <w:szCs w:val="22"/>
              </w:rPr>
              <w:t xml:space="preserve"> </w:t>
            </w:r>
            <w:r w:rsidRPr="00260823">
              <w:rPr>
                <w:rFonts w:ascii="Aptos" w:hAnsi="Aptos"/>
                <w:sz w:val="22"/>
                <w:szCs w:val="22"/>
              </w:rPr>
              <w:t xml:space="preserve">(+4,9 %), tandis que </w:t>
            </w:r>
            <w:r w:rsidRPr="00260823">
              <w:rPr>
                <w:rFonts w:ascii="Aptos" w:hAnsi="Aptos"/>
                <w:b/>
                <w:bCs/>
                <w:color w:val="FF0000"/>
                <w:sz w:val="22"/>
                <w:szCs w:val="22"/>
              </w:rPr>
              <w:t>l’entretien corporel</w:t>
            </w:r>
            <w:r w:rsidRPr="00260823">
              <w:rPr>
                <w:rFonts w:ascii="Aptos" w:hAnsi="Aptos"/>
                <w:color w:val="FF0000"/>
                <w:sz w:val="22"/>
                <w:szCs w:val="22"/>
              </w:rPr>
              <w:t xml:space="preserve"> </w:t>
            </w:r>
            <w:r w:rsidR="004E7A56" w:rsidRPr="00260823">
              <w:rPr>
                <w:rFonts w:ascii="Aptos" w:hAnsi="Aptos"/>
                <w:sz w:val="22"/>
                <w:szCs w:val="22"/>
              </w:rPr>
              <w:t>(centre</w:t>
            </w:r>
            <w:r w:rsidR="00021FE2">
              <w:rPr>
                <w:rFonts w:ascii="Aptos" w:hAnsi="Aptos"/>
                <w:sz w:val="22"/>
                <w:szCs w:val="22"/>
              </w:rPr>
              <w:t>s</w:t>
            </w:r>
            <w:r w:rsidR="004E7A56" w:rsidRPr="00260823">
              <w:rPr>
                <w:rFonts w:ascii="Aptos" w:hAnsi="Aptos"/>
                <w:sz w:val="22"/>
                <w:szCs w:val="22"/>
              </w:rPr>
              <w:t xml:space="preserve"> minceurs, bronzage, bien être …) </w:t>
            </w:r>
            <w:r w:rsidRPr="00260823">
              <w:rPr>
                <w:rFonts w:ascii="Aptos" w:hAnsi="Aptos"/>
                <w:sz w:val="22"/>
                <w:szCs w:val="22"/>
              </w:rPr>
              <w:t>connaît une envolée (+73 %)</w:t>
            </w:r>
            <w:r w:rsidR="004E7A56" w:rsidRPr="00260823">
              <w:rPr>
                <w:rFonts w:ascii="Aptos" w:hAnsi="Aptos"/>
                <w:sz w:val="22"/>
                <w:szCs w:val="22"/>
              </w:rPr>
              <w:t>.</w:t>
            </w:r>
          </w:p>
          <w:p w14:paraId="1E5B970D" w14:textId="368BEB2F" w:rsidR="00802952" w:rsidRPr="00260823" w:rsidRDefault="00A23E8E" w:rsidP="00A23E8E">
            <w:pPr>
              <w:spacing w:line="240" w:lineRule="auto"/>
              <w:jc w:val="both"/>
              <w:rPr>
                <w:rFonts w:ascii="Aptos" w:hAnsi="Aptos"/>
                <w:sz w:val="22"/>
                <w:szCs w:val="22"/>
              </w:rPr>
            </w:pPr>
            <w:r w:rsidRPr="00260823">
              <w:rPr>
                <w:rFonts w:ascii="Aptos" w:hAnsi="Aptos"/>
                <w:sz w:val="22"/>
                <w:szCs w:val="22"/>
              </w:rPr>
              <w:t xml:space="preserve">Les activités de </w:t>
            </w:r>
            <w:r w:rsidRPr="00260823">
              <w:rPr>
                <w:rFonts w:ascii="Aptos" w:hAnsi="Aptos"/>
                <w:b/>
                <w:bCs/>
                <w:color w:val="FF0000"/>
                <w:sz w:val="22"/>
                <w:szCs w:val="22"/>
              </w:rPr>
              <w:t>réparation</w:t>
            </w:r>
            <w:r w:rsidRPr="00260823">
              <w:rPr>
                <w:rFonts w:ascii="Aptos" w:hAnsi="Aptos"/>
                <w:color w:val="FF0000"/>
                <w:sz w:val="22"/>
                <w:szCs w:val="22"/>
              </w:rPr>
              <w:t xml:space="preserve"> </w:t>
            </w:r>
            <w:r w:rsidRPr="00260823">
              <w:rPr>
                <w:rFonts w:ascii="Aptos" w:hAnsi="Aptos"/>
                <w:sz w:val="22"/>
                <w:szCs w:val="22"/>
              </w:rPr>
              <w:t>se dégradent également fortement</w:t>
            </w:r>
            <w:r w:rsidR="00802952" w:rsidRPr="00260823">
              <w:rPr>
                <w:rFonts w:ascii="Aptos" w:hAnsi="Aptos"/>
                <w:sz w:val="22"/>
                <w:szCs w:val="22"/>
              </w:rPr>
              <w:t xml:space="preserve"> (</w:t>
            </w:r>
            <w:r w:rsidRPr="00260823">
              <w:rPr>
                <w:rFonts w:ascii="Aptos" w:hAnsi="Aptos"/>
                <w:sz w:val="22"/>
                <w:szCs w:val="22"/>
              </w:rPr>
              <w:t>+32 %</w:t>
            </w:r>
            <w:r w:rsidR="00802952" w:rsidRPr="00260823">
              <w:rPr>
                <w:rFonts w:ascii="Aptos" w:hAnsi="Aptos"/>
                <w:sz w:val="22"/>
                <w:szCs w:val="22"/>
              </w:rPr>
              <w:t>).</w:t>
            </w:r>
            <w:r w:rsidR="00EA21B6">
              <w:rPr>
                <w:rFonts w:ascii="Aptos" w:hAnsi="Aptos"/>
                <w:sz w:val="22"/>
                <w:szCs w:val="22"/>
              </w:rPr>
              <w:t xml:space="preserve"> </w:t>
            </w:r>
            <w:r w:rsidRPr="00260823">
              <w:rPr>
                <w:rFonts w:ascii="Aptos" w:hAnsi="Aptos"/>
                <w:sz w:val="22"/>
                <w:szCs w:val="22"/>
              </w:rPr>
              <w:t xml:space="preserve">Les </w:t>
            </w:r>
            <w:r w:rsidRPr="00260823">
              <w:rPr>
                <w:rFonts w:ascii="Aptos" w:hAnsi="Aptos"/>
                <w:b/>
                <w:bCs/>
                <w:color w:val="FF0000"/>
                <w:sz w:val="22"/>
                <w:szCs w:val="22"/>
              </w:rPr>
              <w:t>autres services</w:t>
            </w:r>
            <w:r w:rsidRPr="00260823">
              <w:rPr>
                <w:rFonts w:ascii="Aptos" w:hAnsi="Aptos"/>
                <w:color w:val="FF0000"/>
                <w:sz w:val="22"/>
                <w:szCs w:val="22"/>
              </w:rPr>
              <w:t xml:space="preserve"> </w:t>
            </w:r>
            <w:r w:rsidRPr="00260823">
              <w:rPr>
                <w:rFonts w:ascii="Aptos" w:hAnsi="Aptos"/>
                <w:sz w:val="22"/>
                <w:szCs w:val="22"/>
              </w:rPr>
              <w:t xml:space="preserve">à la personne progressent eux </w:t>
            </w:r>
            <w:r w:rsidR="00802952" w:rsidRPr="00260823">
              <w:rPr>
                <w:rFonts w:ascii="Aptos" w:hAnsi="Aptos"/>
                <w:sz w:val="22"/>
                <w:szCs w:val="22"/>
              </w:rPr>
              <w:t xml:space="preserve">aussi </w:t>
            </w:r>
            <w:r w:rsidRPr="00260823">
              <w:rPr>
                <w:rFonts w:ascii="Aptos" w:hAnsi="Aptos"/>
                <w:sz w:val="22"/>
                <w:szCs w:val="22"/>
              </w:rPr>
              <w:t xml:space="preserve">à un rythme </w:t>
            </w:r>
            <w:r w:rsidR="00802952" w:rsidRPr="00260823">
              <w:rPr>
                <w:rFonts w:ascii="Aptos" w:hAnsi="Aptos"/>
                <w:sz w:val="22"/>
                <w:szCs w:val="22"/>
              </w:rPr>
              <w:t>élevé (</w:t>
            </w:r>
            <w:r w:rsidRPr="00260823">
              <w:rPr>
                <w:rFonts w:ascii="Aptos" w:hAnsi="Aptos"/>
                <w:sz w:val="22"/>
                <w:szCs w:val="22"/>
              </w:rPr>
              <w:t>+1</w:t>
            </w:r>
            <w:r w:rsidR="00802952" w:rsidRPr="00260823">
              <w:rPr>
                <w:rFonts w:ascii="Aptos" w:hAnsi="Aptos"/>
                <w:sz w:val="22"/>
                <w:szCs w:val="22"/>
              </w:rPr>
              <w:t>3</w:t>
            </w:r>
            <w:r w:rsidRPr="00260823">
              <w:rPr>
                <w:rFonts w:ascii="Aptos" w:hAnsi="Aptos"/>
                <w:sz w:val="22"/>
                <w:szCs w:val="22"/>
              </w:rPr>
              <w:t xml:space="preserve"> %</w:t>
            </w:r>
            <w:r w:rsidR="00802952" w:rsidRPr="00260823">
              <w:rPr>
                <w:rFonts w:ascii="Aptos" w:hAnsi="Aptos"/>
                <w:sz w:val="22"/>
                <w:szCs w:val="22"/>
              </w:rPr>
              <w:t>)</w:t>
            </w:r>
            <w:r w:rsidRPr="00260823">
              <w:rPr>
                <w:rFonts w:ascii="Aptos" w:hAnsi="Aptos"/>
                <w:sz w:val="22"/>
                <w:szCs w:val="22"/>
              </w:rPr>
              <w:t xml:space="preserve">. </w:t>
            </w:r>
            <w:r w:rsidR="00802952" w:rsidRPr="00260823">
              <w:rPr>
                <w:rFonts w:ascii="Aptos" w:hAnsi="Aptos"/>
                <w:sz w:val="22"/>
                <w:szCs w:val="22"/>
              </w:rPr>
              <w:t>Il s’agit de services très divers qui vont du pressing aux servi</w:t>
            </w:r>
            <w:r w:rsidR="00EA21B6">
              <w:rPr>
                <w:rFonts w:ascii="Aptos" w:hAnsi="Aptos"/>
                <w:sz w:val="22"/>
                <w:szCs w:val="22"/>
              </w:rPr>
              <w:t>c</w:t>
            </w:r>
            <w:r w:rsidR="00802952" w:rsidRPr="00260823">
              <w:rPr>
                <w:rFonts w:ascii="Aptos" w:hAnsi="Aptos"/>
                <w:sz w:val="22"/>
                <w:szCs w:val="22"/>
              </w:rPr>
              <w:t>es funéraires en passant par le coaching ou la conciergerie multi-services.</w:t>
            </w:r>
          </w:p>
          <w:p w14:paraId="4D026C67" w14:textId="77777777" w:rsidR="00624BFA" w:rsidRPr="00260823" w:rsidRDefault="00624BFA" w:rsidP="00624BFA">
            <w:pPr>
              <w:jc w:val="both"/>
              <w:rPr>
                <w:rFonts w:ascii="Aptos" w:hAnsi="Aptos" w:cs="Arial"/>
                <w:b/>
                <w:bCs/>
                <w:highlight w:val="green"/>
              </w:rPr>
            </w:pPr>
          </w:p>
          <w:p w14:paraId="3882DCE8" w14:textId="2E21ED79" w:rsidR="00624BFA" w:rsidRPr="00260823" w:rsidRDefault="00360F0F" w:rsidP="006305A4">
            <w:pPr>
              <w:pStyle w:val="Paragraphedeliste"/>
              <w:numPr>
                <w:ilvl w:val="0"/>
                <w:numId w:val="6"/>
              </w:numPr>
              <w:jc w:val="both"/>
              <w:rPr>
                <w:rFonts w:ascii="Aptos" w:hAnsi="Aptos" w:cs="Arial"/>
                <w:b/>
                <w:bCs/>
              </w:rPr>
            </w:pPr>
            <w:r>
              <w:rPr>
                <w:rFonts w:ascii="Aptos" w:hAnsi="Aptos" w:cs="Arial"/>
                <w:b/>
                <w:bCs/>
              </w:rPr>
              <w:t>CHR</w:t>
            </w:r>
            <w:r w:rsidR="0077225A" w:rsidRPr="00260823">
              <w:rPr>
                <w:rFonts w:ascii="Aptos" w:hAnsi="Aptos" w:cs="Arial"/>
                <w:b/>
                <w:bCs/>
              </w:rPr>
              <w:t xml:space="preserve"> </w:t>
            </w:r>
            <w:r w:rsidR="006305A4" w:rsidRPr="00260823">
              <w:rPr>
                <w:rFonts w:ascii="Aptos" w:hAnsi="Aptos" w:cs="Arial"/>
                <w:b/>
                <w:bCs/>
              </w:rPr>
              <w:t xml:space="preserve">: </w:t>
            </w:r>
            <w:r>
              <w:rPr>
                <w:rFonts w:ascii="Aptos" w:hAnsi="Aptos" w:cs="Arial"/>
                <w:b/>
                <w:bCs/>
              </w:rPr>
              <w:t>l</w:t>
            </w:r>
            <w:r w:rsidR="00FB5CC0" w:rsidRPr="00260823">
              <w:rPr>
                <w:rFonts w:ascii="Aptos" w:hAnsi="Aptos" w:cs="Arial"/>
                <w:b/>
                <w:bCs/>
              </w:rPr>
              <w:t>'hébergement se dégrade nettement</w:t>
            </w:r>
          </w:p>
          <w:p w14:paraId="5CEA333F" w14:textId="77777777" w:rsidR="00FB5CC0" w:rsidRPr="00260823" w:rsidRDefault="00FB5CC0" w:rsidP="00AE0B91">
            <w:pPr>
              <w:spacing w:line="240" w:lineRule="auto"/>
              <w:jc w:val="both"/>
              <w:rPr>
                <w:rFonts w:ascii="Aptos" w:hAnsi="Aptos"/>
                <w:sz w:val="22"/>
                <w:szCs w:val="22"/>
              </w:rPr>
            </w:pPr>
          </w:p>
          <w:p w14:paraId="429B5A64" w14:textId="46B7A9AB" w:rsidR="00FB5CC0" w:rsidRDefault="00FB5CC0" w:rsidP="00FB5CC0">
            <w:pPr>
              <w:spacing w:line="240" w:lineRule="auto"/>
              <w:jc w:val="both"/>
              <w:rPr>
                <w:rFonts w:ascii="Aptos" w:hAnsi="Aptos"/>
                <w:sz w:val="22"/>
                <w:szCs w:val="22"/>
              </w:rPr>
            </w:pPr>
            <w:r w:rsidRPr="00260823">
              <w:rPr>
                <w:rFonts w:ascii="Aptos" w:hAnsi="Aptos"/>
                <w:sz w:val="22"/>
                <w:szCs w:val="22"/>
              </w:rPr>
              <w:t xml:space="preserve">Dans </w:t>
            </w:r>
            <w:r w:rsidRPr="00EA21B6">
              <w:rPr>
                <w:rFonts w:ascii="Aptos" w:hAnsi="Aptos"/>
                <w:b/>
                <w:bCs/>
                <w:color w:val="FF0000"/>
                <w:sz w:val="22"/>
                <w:szCs w:val="22"/>
              </w:rPr>
              <w:t>l'hébergement,</w:t>
            </w:r>
            <w:r w:rsidRPr="00260823">
              <w:rPr>
                <w:rFonts w:ascii="Aptos" w:hAnsi="Aptos"/>
                <w:sz w:val="22"/>
                <w:szCs w:val="22"/>
              </w:rPr>
              <w:t xml:space="preserve"> les difficultés s'accentuent fortement (133 procédures ; +41,5%). 91 </w:t>
            </w:r>
            <w:r w:rsidRPr="00260823">
              <w:rPr>
                <w:rFonts w:ascii="Aptos" w:hAnsi="Aptos"/>
                <w:b/>
                <w:bCs/>
                <w:color w:val="FF0000"/>
                <w:sz w:val="22"/>
                <w:szCs w:val="22"/>
              </w:rPr>
              <w:t>hôtels</w:t>
            </w:r>
            <w:r w:rsidRPr="00260823">
              <w:rPr>
                <w:rFonts w:ascii="Aptos" w:hAnsi="Aptos"/>
                <w:color w:val="FF0000"/>
                <w:sz w:val="22"/>
                <w:szCs w:val="22"/>
              </w:rPr>
              <w:t xml:space="preserve"> </w:t>
            </w:r>
            <w:r w:rsidRPr="00260823">
              <w:rPr>
                <w:rFonts w:ascii="Aptos" w:hAnsi="Aptos"/>
                <w:sz w:val="22"/>
                <w:szCs w:val="22"/>
              </w:rPr>
              <w:t>ont connu la défaillance</w:t>
            </w:r>
            <w:r w:rsidR="00882DA8">
              <w:rPr>
                <w:rFonts w:ascii="Aptos" w:hAnsi="Aptos"/>
                <w:sz w:val="22"/>
                <w:szCs w:val="22"/>
              </w:rPr>
              <w:t xml:space="preserve">, en </w:t>
            </w:r>
            <w:r w:rsidRPr="00260823">
              <w:rPr>
                <w:rFonts w:ascii="Aptos" w:hAnsi="Aptos"/>
                <w:sz w:val="22"/>
                <w:szCs w:val="22"/>
              </w:rPr>
              <w:t xml:space="preserve">hausse de 54 %. Les structures </w:t>
            </w:r>
            <w:r w:rsidRPr="00882DA8">
              <w:rPr>
                <w:rFonts w:ascii="Aptos" w:hAnsi="Aptos"/>
                <w:b/>
                <w:bCs/>
                <w:color w:val="FF0000"/>
                <w:sz w:val="22"/>
                <w:szCs w:val="22"/>
              </w:rPr>
              <w:t>d'hébergement touristique de courte durée</w:t>
            </w:r>
            <w:r w:rsidRPr="00260823">
              <w:rPr>
                <w:rFonts w:ascii="Aptos" w:hAnsi="Aptos"/>
                <w:sz w:val="22"/>
                <w:szCs w:val="22"/>
              </w:rPr>
              <w:t xml:space="preserve"> suivent la même trajectoire (+50 %). </w:t>
            </w:r>
          </w:p>
          <w:p w14:paraId="2CB6DD07" w14:textId="77777777" w:rsidR="00882DA8" w:rsidRPr="00260823" w:rsidRDefault="00882DA8" w:rsidP="00FB5CC0">
            <w:pPr>
              <w:spacing w:line="240" w:lineRule="auto"/>
              <w:jc w:val="both"/>
              <w:rPr>
                <w:rFonts w:ascii="Aptos" w:hAnsi="Aptos"/>
                <w:sz w:val="22"/>
                <w:szCs w:val="22"/>
              </w:rPr>
            </w:pPr>
          </w:p>
          <w:p w14:paraId="2BA88258" w14:textId="404FACFF" w:rsidR="00FB5CC0" w:rsidRPr="00260823" w:rsidRDefault="00FB5CC0" w:rsidP="00FB5CC0">
            <w:pPr>
              <w:spacing w:line="240" w:lineRule="auto"/>
              <w:jc w:val="both"/>
              <w:rPr>
                <w:rFonts w:ascii="Aptos" w:hAnsi="Aptos"/>
                <w:sz w:val="22"/>
                <w:szCs w:val="22"/>
              </w:rPr>
            </w:pPr>
            <w:r w:rsidRPr="00260823">
              <w:rPr>
                <w:rFonts w:ascii="Aptos" w:hAnsi="Aptos"/>
                <w:sz w:val="22"/>
                <w:szCs w:val="22"/>
              </w:rPr>
              <w:t xml:space="preserve">La restauration concentre l'essentiel des procédures du secteur. La </w:t>
            </w:r>
            <w:r w:rsidRPr="00260823">
              <w:rPr>
                <w:rFonts w:ascii="Aptos" w:hAnsi="Aptos"/>
                <w:b/>
                <w:bCs/>
                <w:color w:val="FF0000"/>
                <w:sz w:val="22"/>
                <w:szCs w:val="22"/>
              </w:rPr>
              <w:t>restauration traditionnelle</w:t>
            </w:r>
            <w:r w:rsidRPr="00260823">
              <w:rPr>
                <w:rFonts w:ascii="Aptos" w:hAnsi="Aptos"/>
                <w:color w:val="FF0000"/>
                <w:sz w:val="22"/>
                <w:szCs w:val="22"/>
              </w:rPr>
              <w:t xml:space="preserve"> </w:t>
            </w:r>
            <w:r w:rsidRPr="00260823">
              <w:rPr>
                <w:rFonts w:ascii="Aptos" w:hAnsi="Aptos"/>
                <w:sz w:val="22"/>
                <w:szCs w:val="22"/>
              </w:rPr>
              <w:t xml:space="preserve">demeure l'activité la plus touchée avec 997 défaillances, </w:t>
            </w:r>
            <w:r w:rsidR="00882DA8">
              <w:rPr>
                <w:rFonts w:ascii="Aptos" w:hAnsi="Aptos"/>
                <w:sz w:val="22"/>
                <w:szCs w:val="22"/>
              </w:rPr>
              <w:t>en</w:t>
            </w:r>
            <w:r w:rsidRPr="00260823">
              <w:rPr>
                <w:rFonts w:ascii="Aptos" w:hAnsi="Aptos"/>
                <w:sz w:val="22"/>
                <w:szCs w:val="22"/>
              </w:rPr>
              <w:t xml:space="preserve"> hausse de 6,4 %. La situation est plus dégradée dans la </w:t>
            </w:r>
            <w:r w:rsidRPr="00260823">
              <w:rPr>
                <w:rFonts w:ascii="Aptos" w:hAnsi="Aptos"/>
                <w:b/>
                <w:bCs/>
                <w:color w:val="FF0000"/>
                <w:sz w:val="22"/>
                <w:szCs w:val="22"/>
              </w:rPr>
              <w:t>restauration rapide</w:t>
            </w:r>
            <w:r w:rsidR="002B4F99">
              <w:rPr>
                <w:rFonts w:ascii="Aptos" w:hAnsi="Aptos"/>
                <w:sz w:val="22"/>
                <w:szCs w:val="22"/>
              </w:rPr>
              <w:t xml:space="preserve"> avec 9</w:t>
            </w:r>
            <w:r w:rsidRPr="00260823">
              <w:rPr>
                <w:rFonts w:ascii="Aptos" w:hAnsi="Aptos"/>
                <w:sz w:val="22"/>
                <w:szCs w:val="22"/>
              </w:rPr>
              <w:t xml:space="preserve">07 procédures (+13,9 %). Cette activité affiche désormais un volume de défauts presque équivalent à celui de la restauration traditionnelle. </w:t>
            </w:r>
          </w:p>
          <w:p w14:paraId="2BD4A694" w14:textId="588A0BFD" w:rsidR="00FB5CC0" w:rsidRPr="00260823" w:rsidRDefault="00FB5CC0" w:rsidP="00FB5CC0">
            <w:pPr>
              <w:spacing w:line="240" w:lineRule="auto"/>
              <w:jc w:val="both"/>
              <w:rPr>
                <w:rFonts w:ascii="Aptos" w:hAnsi="Aptos"/>
                <w:sz w:val="22"/>
                <w:szCs w:val="22"/>
              </w:rPr>
            </w:pPr>
            <w:r w:rsidRPr="00260823">
              <w:rPr>
                <w:rFonts w:ascii="Aptos" w:hAnsi="Aptos"/>
                <w:sz w:val="22"/>
                <w:szCs w:val="22"/>
              </w:rPr>
              <w:t xml:space="preserve">Seule note plus favorable, les </w:t>
            </w:r>
            <w:r w:rsidRPr="00260823">
              <w:rPr>
                <w:rFonts w:ascii="Aptos" w:hAnsi="Aptos"/>
                <w:b/>
                <w:bCs/>
                <w:color w:val="00B050"/>
                <w:sz w:val="22"/>
                <w:szCs w:val="22"/>
              </w:rPr>
              <w:t>débits de boissons</w:t>
            </w:r>
            <w:r w:rsidRPr="00260823">
              <w:rPr>
                <w:rFonts w:ascii="Aptos" w:hAnsi="Aptos"/>
                <w:color w:val="00B050"/>
                <w:sz w:val="22"/>
                <w:szCs w:val="22"/>
              </w:rPr>
              <w:t xml:space="preserve"> </w:t>
            </w:r>
            <w:r w:rsidRPr="00260823">
              <w:rPr>
                <w:rFonts w:ascii="Aptos" w:hAnsi="Aptos"/>
                <w:sz w:val="22"/>
                <w:szCs w:val="22"/>
              </w:rPr>
              <w:t xml:space="preserve">amorcent une légère amélioration. Les défaillances reculent à 288 procédures (-2,7 %). </w:t>
            </w:r>
          </w:p>
          <w:p w14:paraId="6891F956" w14:textId="77777777" w:rsidR="00FB5CC0" w:rsidRPr="00260823" w:rsidRDefault="00FB5CC0" w:rsidP="00AE0B91">
            <w:pPr>
              <w:spacing w:line="240" w:lineRule="auto"/>
              <w:jc w:val="both"/>
              <w:rPr>
                <w:rFonts w:ascii="Aptos" w:hAnsi="Aptos"/>
                <w:sz w:val="22"/>
                <w:szCs w:val="22"/>
              </w:rPr>
            </w:pPr>
          </w:p>
          <w:p w14:paraId="7D159FE9" w14:textId="408428A2" w:rsidR="00624BFA" w:rsidRPr="00260823" w:rsidRDefault="00C07846" w:rsidP="00000BBB">
            <w:pPr>
              <w:pStyle w:val="Paragraphedeliste"/>
              <w:numPr>
                <w:ilvl w:val="0"/>
                <w:numId w:val="6"/>
              </w:numPr>
              <w:jc w:val="both"/>
              <w:rPr>
                <w:rFonts w:ascii="Aptos" w:hAnsi="Aptos" w:cs="Arial"/>
                <w:b/>
                <w:bCs/>
              </w:rPr>
            </w:pPr>
            <w:r>
              <w:rPr>
                <w:rFonts w:ascii="Aptos" w:hAnsi="Aptos" w:cs="Arial"/>
                <w:b/>
                <w:bCs/>
              </w:rPr>
              <w:t>Agriculture</w:t>
            </w:r>
            <w:r w:rsidR="00000BBB" w:rsidRPr="00260823">
              <w:rPr>
                <w:rFonts w:ascii="Aptos" w:hAnsi="Aptos" w:cs="Arial"/>
                <w:b/>
                <w:bCs/>
              </w:rPr>
              <w:t xml:space="preserve"> : </w:t>
            </w:r>
            <w:r w:rsidR="005E15F9" w:rsidRPr="00260823">
              <w:rPr>
                <w:rFonts w:ascii="Aptos" w:hAnsi="Aptos" w:cs="Arial"/>
                <w:b/>
                <w:bCs/>
              </w:rPr>
              <w:t>une hausse portée par les cultures</w:t>
            </w:r>
          </w:p>
          <w:p w14:paraId="493163E0" w14:textId="77777777" w:rsidR="005954A3" w:rsidRPr="00260823" w:rsidRDefault="005954A3" w:rsidP="00000BBB">
            <w:pPr>
              <w:spacing w:line="240" w:lineRule="auto"/>
              <w:jc w:val="both"/>
              <w:rPr>
                <w:rFonts w:ascii="Aptos" w:hAnsi="Aptos"/>
                <w:b/>
                <w:bCs/>
                <w:color w:val="EE0000"/>
                <w:sz w:val="22"/>
                <w:szCs w:val="22"/>
              </w:rPr>
            </w:pPr>
          </w:p>
          <w:p w14:paraId="51053BB1" w14:textId="4CD797F2" w:rsidR="00433279" w:rsidRPr="00E024CD" w:rsidRDefault="00433279" w:rsidP="00433279">
            <w:pPr>
              <w:spacing w:line="240" w:lineRule="auto"/>
              <w:jc w:val="both"/>
              <w:rPr>
                <w:rFonts w:ascii="Aptos" w:hAnsi="Aptos"/>
                <w:b/>
                <w:bCs/>
                <w:sz w:val="22"/>
                <w:szCs w:val="22"/>
              </w:rPr>
            </w:pPr>
            <w:r w:rsidRPr="00E024CD">
              <w:rPr>
                <w:rFonts w:ascii="Aptos" w:hAnsi="Aptos"/>
                <w:b/>
                <w:bCs/>
                <w:sz w:val="22"/>
                <w:szCs w:val="22"/>
              </w:rPr>
              <w:t>Le secteur agricole enregistre une nette poussée des défaillances au deuxième trimestre 2026</w:t>
            </w:r>
            <w:r w:rsidR="006F75CC" w:rsidRPr="00E024CD">
              <w:rPr>
                <w:rFonts w:ascii="Aptos" w:hAnsi="Aptos"/>
                <w:b/>
                <w:bCs/>
                <w:sz w:val="22"/>
                <w:szCs w:val="22"/>
              </w:rPr>
              <w:t xml:space="preserve"> : 444 procédures, </w:t>
            </w:r>
            <w:r w:rsidRPr="00E024CD">
              <w:rPr>
                <w:rFonts w:ascii="Aptos" w:hAnsi="Aptos"/>
                <w:b/>
                <w:bCs/>
                <w:sz w:val="22"/>
                <w:szCs w:val="22"/>
              </w:rPr>
              <w:t>soit une hausse de +2</w:t>
            </w:r>
            <w:r w:rsidR="00B608DA" w:rsidRPr="00E024CD">
              <w:rPr>
                <w:rFonts w:ascii="Aptos" w:hAnsi="Aptos"/>
                <w:b/>
                <w:bCs/>
                <w:sz w:val="22"/>
                <w:szCs w:val="22"/>
              </w:rPr>
              <w:t>1</w:t>
            </w:r>
            <w:r w:rsidRPr="00E024CD">
              <w:rPr>
                <w:rFonts w:ascii="Aptos" w:hAnsi="Aptos"/>
                <w:b/>
                <w:bCs/>
                <w:sz w:val="22"/>
                <w:szCs w:val="22"/>
              </w:rPr>
              <w:t xml:space="preserve"> % sur un an. L</w:t>
            </w:r>
            <w:r w:rsidR="00E024CD" w:rsidRPr="00E024CD">
              <w:rPr>
                <w:rFonts w:ascii="Aptos" w:hAnsi="Aptos"/>
                <w:b/>
                <w:bCs/>
                <w:sz w:val="22"/>
                <w:szCs w:val="22"/>
              </w:rPr>
              <w:t xml:space="preserve">es fragilisations les plus marquées se concentrent sur les </w:t>
            </w:r>
            <w:r w:rsidRPr="00E024CD">
              <w:rPr>
                <w:rFonts w:ascii="Aptos" w:hAnsi="Aptos"/>
                <w:b/>
                <w:bCs/>
                <w:sz w:val="22"/>
                <w:szCs w:val="22"/>
              </w:rPr>
              <w:t xml:space="preserve">activités de culture. </w:t>
            </w:r>
          </w:p>
          <w:p w14:paraId="433DF8A3" w14:textId="77777777" w:rsidR="00433279" w:rsidRPr="00260823" w:rsidRDefault="00433279" w:rsidP="00433279">
            <w:pPr>
              <w:spacing w:line="240" w:lineRule="auto"/>
              <w:jc w:val="both"/>
              <w:rPr>
                <w:rFonts w:ascii="Aptos" w:hAnsi="Aptos"/>
                <w:sz w:val="22"/>
                <w:szCs w:val="22"/>
              </w:rPr>
            </w:pPr>
          </w:p>
          <w:p w14:paraId="50CFC8B2" w14:textId="27C0E7F9" w:rsidR="00433279" w:rsidRPr="00260823" w:rsidRDefault="00433279" w:rsidP="00433279">
            <w:pPr>
              <w:spacing w:line="240" w:lineRule="auto"/>
              <w:jc w:val="both"/>
              <w:rPr>
                <w:rFonts w:ascii="Aptos" w:hAnsi="Aptos"/>
                <w:sz w:val="22"/>
                <w:szCs w:val="22"/>
              </w:rPr>
            </w:pPr>
            <w:r w:rsidRPr="00260823">
              <w:rPr>
                <w:rFonts w:ascii="Aptos" w:hAnsi="Aptos"/>
                <w:sz w:val="22"/>
                <w:szCs w:val="22"/>
              </w:rPr>
              <w:t>L</w:t>
            </w:r>
            <w:r w:rsidR="005E15F9" w:rsidRPr="00260823">
              <w:rPr>
                <w:rFonts w:ascii="Aptos" w:hAnsi="Aptos"/>
                <w:sz w:val="22"/>
                <w:szCs w:val="22"/>
              </w:rPr>
              <w:t>es</w:t>
            </w:r>
            <w:r w:rsidRPr="00260823">
              <w:rPr>
                <w:rFonts w:ascii="Aptos" w:hAnsi="Aptos"/>
                <w:sz w:val="22"/>
                <w:szCs w:val="22"/>
              </w:rPr>
              <w:t xml:space="preserve"> </w:t>
            </w:r>
            <w:r w:rsidRPr="00E024CD">
              <w:rPr>
                <w:rFonts w:ascii="Aptos" w:hAnsi="Aptos"/>
                <w:b/>
                <w:bCs/>
                <w:color w:val="FF0000"/>
                <w:sz w:val="22"/>
                <w:szCs w:val="22"/>
              </w:rPr>
              <w:t>culture</w:t>
            </w:r>
            <w:r w:rsidR="005E15F9" w:rsidRPr="00E024CD">
              <w:rPr>
                <w:rFonts w:ascii="Aptos" w:hAnsi="Aptos"/>
                <w:b/>
                <w:bCs/>
                <w:color w:val="FF0000"/>
                <w:sz w:val="22"/>
                <w:szCs w:val="22"/>
              </w:rPr>
              <w:t>s</w:t>
            </w:r>
            <w:r w:rsidRPr="00260823">
              <w:rPr>
                <w:rFonts w:ascii="Aptos" w:hAnsi="Aptos"/>
                <w:sz w:val="22"/>
                <w:szCs w:val="22"/>
              </w:rPr>
              <w:t xml:space="preserve"> totalise</w:t>
            </w:r>
            <w:r w:rsidR="005E15F9" w:rsidRPr="00260823">
              <w:rPr>
                <w:rFonts w:ascii="Aptos" w:hAnsi="Aptos"/>
                <w:sz w:val="22"/>
                <w:szCs w:val="22"/>
              </w:rPr>
              <w:t>nt</w:t>
            </w:r>
            <w:r w:rsidRPr="00260823">
              <w:rPr>
                <w:rFonts w:ascii="Aptos" w:hAnsi="Aptos"/>
                <w:sz w:val="22"/>
                <w:szCs w:val="22"/>
              </w:rPr>
              <w:t xml:space="preserve"> 263 défaillances</w:t>
            </w:r>
            <w:r w:rsidR="00E024CD">
              <w:rPr>
                <w:rFonts w:ascii="Aptos" w:hAnsi="Aptos"/>
                <w:sz w:val="22"/>
                <w:szCs w:val="22"/>
              </w:rPr>
              <w:t xml:space="preserve"> (</w:t>
            </w:r>
            <w:r w:rsidRPr="00260823">
              <w:rPr>
                <w:rFonts w:ascii="Aptos" w:hAnsi="Aptos"/>
                <w:sz w:val="22"/>
                <w:szCs w:val="22"/>
              </w:rPr>
              <w:t>+28 %</w:t>
            </w:r>
            <w:r w:rsidR="00E024CD">
              <w:rPr>
                <w:rFonts w:ascii="Aptos" w:hAnsi="Aptos"/>
                <w:sz w:val="22"/>
                <w:szCs w:val="22"/>
              </w:rPr>
              <w:t>)</w:t>
            </w:r>
            <w:r w:rsidRPr="00260823">
              <w:rPr>
                <w:rFonts w:ascii="Aptos" w:hAnsi="Aptos"/>
                <w:sz w:val="22"/>
                <w:szCs w:val="22"/>
              </w:rPr>
              <w:t xml:space="preserve">. </w:t>
            </w:r>
            <w:r w:rsidR="004670BD" w:rsidRPr="00021FE2">
              <w:rPr>
                <w:rFonts w:ascii="Aptos" w:hAnsi="Aptos"/>
                <w:sz w:val="22"/>
                <w:szCs w:val="22"/>
              </w:rPr>
              <w:t>Deux</w:t>
            </w:r>
            <w:r w:rsidRPr="00021FE2">
              <w:rPr>
                <w:rFonts w:ascii="Aptos" w:hAnsi="Aptos"/>
                <w:sz w:val="22"/>
                <w:szCs w:val="22"/>
              </w:rPr>
              <w:t xml:space="preserve"> activités portent l’essentiel de cette hausse</w:t>
            </w:r>
            <w:r w:rsidR="004670BD" w:rsidRPr="00021FE2">
              <w:rPr>
                <w:rFonts w:ascii="Aptos" w:hAnsi="Aptos"/>
                <w:sz w:val="22"/>
                <w:szCs w:val="22"/>
              </w:rPr>
              <w:t xml:space="preserve"> avec l</w:t>
            </w:r>
            <w:r w:rsidRPr="00021FE2">
              <w:rPr>
                <w:rFonts w:ascii="Aptos" w:hAnsi="Aptos"/>
                <w:sz w:val="22"/>
                <w:szCs w:val="22"/>
              </w:rPr>
              <w:t xml:space="preserve">a </w:t>
            </w:r>
            <w:r w:rsidRPr="00021FE2">
              <w:rPr>
                <w:rFonts w:ascii="Aptos" w:hAnsi="Aptos"/>
                <w:b/>
                <w:bCs/>
                <w:color w:val="FF0000"/>
                <w:sz w:val="22"/>
                <w:szCs w:val="22"/>
              </w:rPr>
              <w:t>vigne</w:t>
            </w:r>
            <w:r w:rsidRPr="00021FE2">
              <w:rPr>
                <w:rFonts w:ascii="Aptos" w:hAnsi="Aptos"/>
                <w:color w:val="FF0000"/>
                <w:sz w:val="22"/>
                <w:szCs w:val="22"/>
              </w:rPr>
              <w:t xml:space="preserve"> </w:t>
            </w:r>
            <w:r w:rsidR="00E024CD" w:rsidRPr="00021FE2">
              <w:rPr>
                <w:rFonts w:ascii="Aptos" w:hAnsi="Aptos"/>
                <w:sz w:val="22"/>
                <w:szCs w:val="22"/>
              </w:rPr>
              <w:t>(</w:t>
            </w:r>
            <w:r w:rsidRPr="00021FE2">
              <w:rPr>
                <w:rFonts w:ascii="Aptos" w:hAnsi="Aptos"/>
                <w:sz w:val="22"/>
                <w:szCs w:val="22"/>
              </w:rPr>
              <w:t>81 procédures, +</w:t>
            </w:r>
            <w:r w:rsidR="003226F7" w:rsidRPr="00021FE2">
              <w:rPr>
                <w:rFonts w:ascii="Aptos" w:hAnsi="Aptos"/>
                <w:sz w:val="22"/>
                <w:szCs w:val="22"/>
              </w:rPr>
              <w:t>16</w:t>
            </w:r>
            <w:r w:rsidRPr="00021FE2">
              <w:rPr>
                <w:rFonts w:ascii="Aptos" w:hAnsi="Aptos"/>
                <w:sz w:val="22"/>
                <w:szCs w:val="22"/>
              </w:rPr>
              <w:t xml:space="preserve"> %)</w:t>
            </w:r>
            <w:r w:rsidR="004670BD" w:rsidRPr="00021FE2">
              <w:rPr>
                <w:rFonts w:ascii="Aptos" w:hAnsi="Aptos"/>
                <w:sz w:val="22"/>
                <w:szCs w:val="22"/>
              </w:rPr>
              <w:t xml:space="preserve"> et</w:t>
            </w:r>
            <w:r w:rsidRPr="00021FE2">
              <w:rPr>
                <w:rFonts w:ascii="Aptos" w:hAnsi="Aptos"/>
                <w:sz w:val="22"/>
                <w:szCs w:val="22"/>
              </w:rPr>
              <w:t xml:space="preserve"> </w:t>
            </w:r>
            <w:r w:rsidR="004670BD" w:rsidRPr="00021FE2">
              <w:rPr>
                <w:rFonts w:ascii="Aptos" w:hAnsi="Aptos"/>
                <w:sz w:val="22"/>
                <w:szCs w:val="22"/>
              </w:rPr>
              <w:t>les</w:t>
            </w:r>
            <w:r w:rsidRPr="00021FE2">
              <w:rPr>
                <w:rFonts w:ascii="Aptos" w:hAnsi="Aptos"/>
                <w:sz w:val="22"/>
                <w:szCs w:val="22"/>
              </w:rPr>
              <w:t xml:space="preserve"> </w:t>
            </w:r>
            <w:r w:rsidRPr="00021FE2">
              <w:rPr>
                <w:rFonts w:ascii="Aptos" w:hAnsi="Aptos"/>
                <w:b/>
                <w:bCs/>
                <w:color w:val="FF0000"/>
                <w:sz w:val="22"/>
                <w:szCs w:val="22"/>
              </w:rPr>
              <w:t>céréales</w:t>
            </w:r>
            <w:r w:rsidRPr="00021FE2">
              <w:rPr>
                <w:rFonts w:ascii="Aptos" w:hAnsi="Aptos"/>
                <w:color w:val="FF0000"/>
                <w:sz w:val="22"/>
                <w:szCs w:val="22"/>
              </w:rPr>
              <w:t xml:space="preserve"> </w:t>
            </w:r>
            <w:r w:rsidRPr="00021FE2">
              <w:rPr>
                <w:rFonts w:ascii="Aptos" w:hAnsi="Aptos"/>
                <w:sz w:val="22"/>
                <w:szCs w:val="22"/>
              </w:rPr>
              <w:t>(+43 %).</w:t>
            </w:r>
            <w:r w:rsidRPr="00260823">
              <w:rPr>
                <w:rFonts w:ascii="Aptos" w:hAnsi="Aptos"/>
                <w:sz w:val="22"/>
                <w:szCs w:val="22"/>
              </w:rPr>
              <w:t xml:space="preserve"> </w:t>
            </w:r>
          </w:p>
          <w:p w14:paraId="66C1EC6D" w14:textId="5E03525D" w:rsidR="000336F2" w:rsidRPr="00260823" w:rsidRDefault="00433279" w:rsidP="00433279">
            <w:pPr>
              <w:spacing w:line="240" w:lineRule="auto"/>
              <w:jc w:val="both"/>
              <w:rPr>
                <w:rFonts w:ascii="Aptos" w:hAnsi="Aptos"/>
                <w:sz w:val="22"/>
                <w:szCs w:val="22"/>
              </w:rPr>
            </w:pPr>
            <w:r w:rsidRPr="00260823">
              <w:rPr>
                <w:rFonts w:ascii="Aptos" w:hAnsi="Aptos"/>
                <w:sz w:val="22"/>
                <w:szCs w:val="22"/>
              </w:rPr>
              <w:t xml:space="preserve">Du côté de </w:t>
            </w:r>
            <w:r w:rsidRPr="004670BD">
              <w:rPr>
                <w:rFonts w:ascii="Aptos" w:hAnsi="Aptos"/>
                <w:b/>
                <w:bCs/>
                <w:color w:val="FF0000"/>
                <w:sz w:val="22"/>
                <w:szCs w:val="22"/>
              </w:rPr>
              <w:t>l’élevage</w:t>
            </w:r>
            <w:r w:rsidRPr="00260823">
              <w:rPr>
                <w:rFonts w:ascii="Aptos" w:hAnsi="Aptos"/>
                <w:sz w:val="22"/>
                <w:szCs w:val="22"/>
              </w:rPr>
              <w:t>, la hausse est plus contenue : 121 défaillances recensées au T2 2026,</w:t>
            </w:r>
            <w:r w:rsidR="004670BD">
              <w:rPr>
                <w:rFonts w:ascii="Aptos" w:hAnsi="Aptos"/>
                <w:sz w:val="22"/>
                <w:szCs w:val="22"/>
              </w:rPr>
              <w:t xml:space="preserve"> soit</w:t>
            </w:r>
            <w:r w:rsidRPr="00260823">
              <w:rPr>
                <w:rFonts w:ascii="Aptos" w:hAnsi="Aptos"/>
                <w:sz w:val="22"/>
                <w:szCs w:val="22"/>
              </w:rPr>
              <w:t xml:space="preserve"> +</w:t>
            </w:r>
            <w:r w:rsidR="00360F0F">
              <w:rPr>
                <w:rFonts w:ascii="Aptos" w:hAnsi="Aptos"/>
                <w:sz w:val="22"/>
                <w:szCs w:val="22"/>
              </w:rPr>
              <w:t>12</w:t>
            </w:r>
            <w:r w:rsidRPr="00260823">
              <w:rPr>
                <w:rFonts w:ascii="Aptos" w:hAnsi="Aptos"/>
                <w:sz w:val="22"/>
                <w:szCs w:val="22"/>
              </w:rPr>
              <w:t xml:space="preserve"> %. Les tensions progressent dans l’élevage de </w:t>
            </w:r>
            <w:r w:rsidRPr="00260823">
              <w:rPr>
                <w:rFonts w:ascii="Aptos" w:hAnsi="Aptos"/>
                <w:b/>
                <w:bCs/>
                <w:color w:val="FF0000"/>
                <w:sz w:val="22"/>
                <w:szCs w:val="22"/>
              </w:rPr>
              <w:t>vaches laitières</w:t>
            </w:r>
            <w:r w:rsidRPr="00260823">
              <w:rPr>
                <w:rFonts w:ascii="Aptos" w:hAnsi="Aptos"/>
                <w:color w:val="FF0000"/>
                <w:sz w:val="22"/>
                <w:szCs w:val="22"/>
              </w:rPr>
              <w:t xml:space="preserve"> </w:t>
            </w:r>
            <w:r w:rsidRPr="00260823">
              <w:rPr>
                <w:rFonts w:ascii="Aptos" w:hAnsi="Aptos"/>
                <w:sz w:val="22"/>
                <w:szCs w:val="22"/>
              </w:rPr>
              <w:t>(+38 %) après un bon deuxième trimestre 2025</w:t>
            </w:r>
            <w:r w:rsidR="000336F2" w:rsidRPr="00260823">
              <w:rPr>
                <w:rFonts w:ascii="Aptos" w:hAnsi="Aptos"/>
                <w:sz w:val="22"/>
                <w:szCs w:val="22"/>
              </w:rPr>
              <w:t>, et plus nettement dans</w:t>
            </w:r>
            <w:r w:rsidRPr="00260823">
              <w:rPr>
                <w:rFonts w:ascii="Aptos" w:hAnsi="Aptos"/>
                <w:sz w:val="22"/>
                <w:szCs w:val="22"/>
              </w:rPr>
              <w:t xml:space="preserve"> l’élevage </w:t>
            </w:r>
            <w:r w:rsidRPr="00260823">
              <w:rPr>
                <w:rFonts w:ascii="Aptos" w:hAnsi="Aptos"/>
                <w:b/>
                <w:bCs/>
                <w:color w:val="FF0000"/>
                <w:sz w:val="22"/>
                <w:szCs w:val="22"/>
              </w:rPr>
              <w:t>d’ovins et de caprins</w:t>
            </w:r>
            <w:r w:rsidRPr="00260823">
              <w:rPr>
                <w:rFonts w:ascii="Aptos" w:hAnsi="Aptos"/>
                <w:color w:val="FF0000"/>
                <w:sz w:val="22"/>
                <w:szCs w:val="22"/>
              </w:rPr>
              <w:t xml:space="preserve"> </w:t>
            </w:r>
            <w:r w:rsidRPr="00260823">
              <w:rPr>
                <w:rFonts w:ascii="Aptos" w:hAnsi="Aptos"/>
                <w:sz w:val="22"/>
                <w:szCs w:val="22"/>
              </w:rPr>
              <w:t xml:space="preserve">(+46 %). En </w:t>
            </w:r>
            <w:r w:rsidR="000336F2" w:rsidRPr="00260823">
              <w:rPr>
                <w:rFonts w:ascii="Aptos" w:hAnsi="Aptos"/>
                <w:sz w:val="22"/>
                <w:szCs w:val="22"/>
              </w:rPr>
              <w:t xml:space="preserve">revanche, les défaillances se replient dans l’élevage de </w:t>
            </w:r>
            <w:r w:rsidR="000336F2" w:rsidRPr="00FE787B">
              <w:rPr>
                <w:rFonts w:ascii="Aptos" w:hAnsi="Aptos"/>
                <w:b/>
                <w:bCs/>
                <w:color w:val="00B050"/>
                <w:sz w:val="22"/>
                <w:szCs w:val="22"/>
              </w:rPr>
              <w:t>volailles</w:t>
            </w:r>
            <w:r w:rsidR="000336F2" w:rsidRPr="00260823">
              <w:rPr>
                <w:rFonts w:ascii="Aptos" w:hAnsi="Aptos"/>
                <w:color w:val="00B050"/>
                <w:sz w:val="22"/>
                <w:szCs w:val="22"/>
              </w:rPr>
              <w:t xml:space="preserve"> </w:t>
            </w:r>
            <w:r w:rsidR="000336F2" w:rsidRPr="00260823">
              <w:rPr>
                <w:rFonts w:ascii="Aptos" w:hAnsi="Aptos"/>
                <w:sz w:val="22"/>
                <w:szCs w:val="22"/>
              </w:rPr>
              <w:t>(-44 %).</w:t>
            </w:r>
          </w:p>
          <w:p w14:paraId="3A2EA086" w14:textId="77777777" w:rsidR="00000BBB" w:rsidRPr="00260823" w:rsidRDefault="00000BBB" w:rsidP="00624BFA">
            <w:pPr>
              <w:jc w:val="both"/>
              <w:rPr>
                <w:rFonts w:ascii="Aptos" w:hAnsi="Aptos" w:cs="Arial"/>
                <w:b/>
                <w:bCs/>
                <w:highlight w:val="green"/>
              </w:rPr>
            </w:pPr>
          </w:p>
          <w:p w14:paraId="5CDCE30B" w14:textId="70B70567" w:rsidR="00E93A71" w:rsidRPr="00260823" w:rsidRDefault="005E15F9" w:rsidP="005E15F9">
            <w:pPr>
              <w:pStyle w:val="Paragraphedeliste"/>
              <w:numPr>
                <w:ilvl w:val="0"/>
                <w:numId w:val="6"/>
              </w:numPr>
              <w:spacing w:line="240" w:lineRule="auto"/>
              <w:jc w:val="both"/>
              <w:rPr>
                <w:rFonts w:ascii="Aptos" w:hAnsi="Aptos"/>
                <w:sz w:val="22"/>
                <w:szCs w:val="22"/>
              </w:rPr>
            </w:pPr>
            <w:r w:rsidRPr="00260823">
              <w:rPr>
                <w:rFonts w:ascii="Aptos" w:hAnsi="Aptos" w:cs="Arial"/>
                <w:b/>
                <w:bCs/>
              </w:rPr>
              <w:t>Santé, action sociale et enseignement : des tensions croissantes</w:t>
            </w:r>
          </w:p>
          <w:p w14:paraId="3171CA38" w14:textId="77777777" w:rsidR="00E93A71" w:rsidRPr="00260823" w:rsidRDefault="00E93A71" w:rsidP="00AE0B91">
            <w:pPr>
              <w:spacing w:line="240" w:lineRule="auto"/>
              <w:jc w:val="both"/>
              <w:rPr>
                <w:rFonts w:ascii="Aptos" w:hAnsi="Aptos"/>
                <w:sz w:val="22"/>
                <w:szCs w:val="22"/>
              </w:rPr>
            </w:pPr>
          </w:p>
          <w:p w14:paraId="26918F2D" w14:textId="664428BA" w:rsidR="00E93A71" w:rsidRPr="00212593" w:rsidRDefault="00212593" w:rsidP="00E93A71">
            <w:pPr>
              <w:spacing w:line="240" w:lineRule="auto"/>
              <w:jc w:val="both"/>
              <w:rPr>
                <w:rFonts w:ascii="Aptos" w:hAnsi="Aptos"/>
                <w:b/>
                <w:bCs/>
                <w:sz w:val="22"/>
                <w:szCs w:val="22"/>
              </w:rPr>
            </w:pPr>
            <w:r w:rsidRPr="00212593">
              <w:rPr>
                <w:rFonts w:ascii="Aptos" w:hAnsi="Aptos"/>
                <w:b/>
                <w:bCs/>
                <w:sz w:val="22"/>
                <w:szCs w:val="22"/>
              </w:rPr>
              <w:t>Le</w:t>
            </w:r>
            <w:r w:rsidR="00E93A71" w:rsidRPr="00212593">
              <w:rPr>
                <w:rFonts w:ascii="Aptos" w:hAnsi="Aptos"/>
                <w:b/>
                <w:bCs/>
                <w:sz w:val="22"/>
                <w:szCs w:val="22"/>
              </w:rPr>
              <w:t xml:space="preserve"> secteur totalise 1 075 défaillances, contre 917 un an plus tôt, soit une hausse de +17,2 %. </w:t>
            </w:r>
          </w:p>
          <w:p w14:paraId="7CB644CB" w14:textId="77777777" w:rsidR="00212593" w:rsidRDefault="00212593" w:rsidP="00E93A71">
            <w:pPr>
              <w:spacing w:line="240" w:lineRule="auto"/>
              <w:jc w:val="both"/>
              <w:rPr>
                <w:rFonts w:ascii="Aptos" w:hAnsi="Aptos"/>
                <w:sz w:val="22"/>
                <w:szCs w:val="22"/>
              </w:rPr>
            </w:pPr>
          </w:p>
          <w:p w14:paraId="0E394ED2" w14:textId="025D2E5E" w:rsidR="00012EC4" w:rsidRPr="00260823" w:rsidRDefault="00E93A71" w:rsidP="00E93A71">
            <w:pPr>
              <w:spacing w:line="240" w:lineRule="auto"/>
              <w:jc w:val="both"/>
              <w:rPr>
                <w:rFonts w:ascii="Aptos" w:hAnsi="Aptos"/>
                <w:sz w:val="22"/>
                <w:szCs w:val="22"/>
              </w:rPr>
            </w:pPr>
            <w:r w:rsidRPr="00260823">
              <w:rPr>
                <w:rFonts w:ascii="Aptos" w:hAnsi="Aptos"/>
                <w:sz w:val="22"/>
                <w:szCs w:val="22"/>
              </w:rPr>
              <w:t xml:space="preserve">La hausse est d’abord portée par la </w:t>
            </w:r>
            <w:r w:rsidRPr="00212593">
              <w:rPr>
                <w:rFonts w:ascii="Aptos" w:hAnsi="Aptos"/>
                <w:b/>
                <w:bCs/>
                <w:color w:val="FF0000"/>
                <w:sz w:val="22"/>
                <w:szCs w:val="22"/>
              </w:rPr>
              <w:t>santé humaine et l’action sociale,</w:t>
            </w:r>
            <w:r w:rsidRPr="00260823">
              <w:rPr>
                <w:rFonts w:ascii="Aptos" w:hAnsi="Aptos"/>
                <w:sz w:val="22"/>
                <w:szCs w:val="22"/>
              </w:rPr>
              <w:t xml:space="preserve"> qui concentre 368 procédures, </w:t>
            </w:r>
            <w:r w:rsidR="00B23E99">
              <w:rPr>
                <w:rFonts w:ascii="Aptos" w:hAnsi="Aptos"/>
                <w:sz w:val="22"/>
                <w:szCs w:val="22"/>
              </w:rPr>
              <w:t>en hausse de 2</w:t>
            </w:r>
            <w:r w:rsidRPr="00260823">
              <w:rPr>
                <w:rFonts w:ascii="Aptos" w:hAnsi="Aptos"/>
                <w:sz w:val="22"/>
                <w:szCs w:val="22"/>
              </w:rPr>
              <w:t xml:space="preserve">4,7 %. </w:t>
            </w:r>
            <w:r w:rsidR="00012EC4" w:rsidRPr="00260823">
              <w:rPr>
                <w:rFonts w:ascii="Aptos" w:hAnsi="Aptos"/>
                <w:sz w:val="22"/>
                <w:szCs w:val="22"/>
              </w:rPr>
              <w:t xml:space="preserve">Les défaillances augmentent fortement dans la </w:t>
            </w:r>
            <w:r w:rsidR="00012EC4" w:rsidRPr="00260823">
              <w:rPr>
                <w:rFonts w:ascii="Aptos" w:hAnsi="Aptos"/>
                <w:b/>
                <w:bCs/>
                <w:color w:val="FF0000"/>
                <w:sz w:val="22"/>
                <w:szCs w:val="22"/>
              </w:rPr>
              <w:t>santé humaine</w:t>
            </w:r>
            <w:r w:rsidR="00012EC4" w:rsidRPr="00260823">
              <w:rPr>
                <w:rFonts w:ascii="Aptos" w:hAnsi="Aptos"/>
                <w:color w:val="FF0000"/>
                <w:sz w:val="22"/>
                <w:szCs w:val="22"/>
              </w:rPr>
              <w:t xml:space="preserve"> </w:t>
            </w:r>
            <w:r w:rsidR="00012EC4" w:rsidRPr="00260823">
              <w:rPr>
                <w:rFonts w:ascii="Aptos" w:hAnsi="Aptos"/>
                <w:sz w:val="22"/>
                <w:szCs w:val="22"/>
              </w:rPr>
              <w:t xml:space="preserve">(246 ; +22%) notamment chez les médecins généralistes et infirmiers. Les </w:t>
            </w:r>
            <w:r w:rsidR="00C97325" w:rsidRPr="00260823">
              <w:rPr>
                <w:rFonts w:ascii="Aptos" w:hAnsi="Aptos"/>
                <w:b/>
                <w:bCs/>
                <w:color w:val="FF0000"/>
                <w:sz w:val="22"/>
                <w:szCs w:val="22"/>
              </w:rPr>
              <w:t>activités</w:t>
            </w:r>
            <w:r w:rsidR="00012EC4" w:rsidRPr="00260823">
              <w:rPr>
                <w:rFonts w:ascii="Aptos" w:hAnsi="Aptos"/>
                <w:b/>
                <w:bCs/>
                <w:color w:val="FF0000"/>
                <w:sz w:val="22"/>
                <w:szCs w:val="22"/>
              </w:rPr>
              <w:t xml:space="preserve"> sociales</w:t>
            </w:r>
            <w:r w:rsidR="00012EC4" w:rsidRPr="00260823">
              <w:rPr>
                <w:rFonts w:ascii="Aptos" w:hAnsi="Aptos"/>
                <w:color w:val="FF0000"/>
                <w:sz w:val="22"/>
                <w:szCs w:val="22"/>
              </w:rPr>
              <w:t xml:space="preserve"> </w:t>
            </w:r>
            <w:r w:rsidR="00012EC4" w:rsidRPr="00260823">
              <w:rPr>
                <w:rFonts w:ascii="Aptos" w:hAnsi="Aptos"/>
                <w:sz w:val="22"/>
                <w:szCs w:val="22"/>
              </w:rPr>
              <w:t>sont</w:t>
            </w:r>
            <w:r w:rsidR="00B23E99">
              <w:rPr>
                <w:rFonts w:ascii="Aptos" w:hAnsi="Aptos"/>
                <w:sz w:val="22"/>
                <w:szCs w:val="22"/>
              </w:rPr>
              <w:t xml:space="preserve"> encore </w:t>
            </w:r>
            <w:r w:rsidR="00012EC4" w:rsidRPr="00260823">
              <w:rPr>
                <w:rFonts w:ascii="Aptos" w:hAnsi="Aptos"/>
                <w:sz w:val="22"/>
                <w:szCs w:val="22"/>
              </w:rPr>
              <w:t xml:space="preserve">davantage impactées </w:t>
            </w:r>
            <w:r w:rsidR="00C97325" w:rsidRPr="00260823">
              <w:rPr>
                <w:rFonts w:ascii="Aptos" w:hAnsi="Aptos"/>
                <w:sz w:val="22"/>
                <w:szCs w:val="22"/>
              </w:rPr>
              <w:t>(+26%, 122 procédures) notamment dans les crèches.</w:t>
            </w:r>
          </w:p>
          <w:p w14:paraId="646E5FE6" w14:textId="684407AD" w:rsidR="00E93A71" w:rsidRPr="00260823" w:rsidRDefault="00E93A71" w:rsidP="00E93A71">
            <w:pPr>
              <w:spacing w:line="240" w:lineRule="auto"/>
              <w:jc w:val="both"/>
              <w:rPr>
                <w:rFonts w:ascii="Aptos" w:hAnsi="Aptos"/>
                <w:sz w:val="22"/>
                <w:szCs w:val="22"/>
              </w:rPr>
            </w:pPr>
            <w:r w:rsidRPr="00260823">
              <w:rPr>
                <w:rFonts w:ascii="Aptos" w:hAnsi="Aptos"/>
                <w:sz w:val="22"/>
                <w:szCs w:val="22"/>
              </w:rPr>
              <w:t xml:space="preserve">Les </w:t>
            </w:r>
            <w:r w:rsidRPr="00260823">
              <w:rPr>
                <w:rFonts w:ascii="Aptos" w:hAnsi="Aptos"/>
                <w:b/>
                <w:bCs/>
                <w:color w:val="FF0000"/>
                <w:sz w:val="22"/>
                <w:szCs w:val="22"/>
              </w:rPr>
              <w:t>activités récréatives</w:t>
            </w:r>
            <w:r w:rsidRPr="00260823">
              <w:rPr>
                <w:rFonts w:ascii="Aptos" w:hAnsi="Aptos"/>
                <w:color w:val="FF0000"/>
                <w:sz w:val="22"/>
                <w:szCs w:val="22"/>
              </w:rPr>
              <w:t xml:space="preserve"> </w:t>
            </w:r>
            <w:r w:rsidRPr="00260823">
              <w:rPr>
                <w:rFonts w:ascii="Aptos" w:hAnsi="Aptos"/>
                <w:sz w:val="22"/>
                <w:szCs w:val="22"/>
              </w:rPr>
              <w:t xml:space="preserve">progressent plus modérément, avec 280 défaillances (+7,7 %). Le secteur reste néanmoins sous pression, dans un contexte où les dépenses de loisirs demeurent sensibles aux arbitrages des ménages. </w:t>
            </w:r>
          </w:p>
          <w:p w14:paraId="7961F9C8" w14:textId="239C01B5" w:rsidR="00E93A71" w:rsidRPr="00260823" w:rsidRDefault="00E93A71" w:rsidP="00E93A71">
            <w:pPr>
              <w:spacing w:line="240" w:lineRule="auto"/>
              <w:jc w:val="both"/>
              <w:rPr>
                <w:rFonts w:ascii="Aptos" w:hAnsi="Aptos"/>
                <w:sz w:val="22"/>
                <w:szCs w:val="22"/>
              </w:rPr>
            </w:pPr>
            <w:r w:rsidRPr="00260823">
              <w:rPr>
                <w:rFonts w:ascii="Aptos" w:hAnsi="Aptos"/>
                <w:b/>
                <w:bCs/>
                <w:color w:val="FF0000"/>
                <w:sz w:val="22"/>
                <w:szCs w:val="22"/>
              </w:rPr>
              <w:t>L’enseignement</w:t>
            </w:r>
            <w:r w:rsidRPr="00260823">
              <w:rPr>
                <w:rFonts w:ascii="Aptos" w:hAnsi="Aptos"/>
                <w:color w:val="FF0000"/>
                <w:sz w:val="22"/>
                <w:szCs w:val="22"/>
              </w:rPr>
              <w:t xml:space="preserve"> </w:t>
            </w:r>
            <w:r w:rsidRPr="00260823">
              <w:rPr>
                <w:rFonts w:ascii="Aptos" w:hAnsi="Aptos"/>
                <w:sz w:val="22"/>
                <w:szCs w:val="22"/>
              </w:rPr>
              <w:t xml:space="preserve">affiche également une hausse contenue : 292 procédures au T2 2026, </w:t>
            </w:r>
            <w:r w:rsidR="001727AD">
              <w:rPr>
                <w:rFonts w:ascii="Aptos" w:hAnsi="Aptos"/>
                <w:sz w:val="22"/>
                <w:szCs w:val="22"/>
              </w:rPr>
              <w:t xml:space="preserve">en hausse de </w:t>
            </w:r>
            <w:r w:rsidRPr="00260823">
              <w:rPr>
                <w:rFonts w:ascii="Aptos" w:hAnsi="Aptos"/>
                <w:sz w:val="22"/>
                <w:szCs w:val="22"/>
              </w:rPr>
              <w:t xml:space="preserve">5,4 %. </w:t>
            </w:r>
          </w:p>
          <w:p w14:paraId="2A005D47" w14:textId="77777777" w:rsidR="005E1AD1" w:rsidRPr="00260823" w:rsidRDefault="005E1AD1" w:rsidP="00447EC9">
            <w:pPr>
              <w:rPr>
                <w:rFonts w:ascii="Aptos" w:hAnsi="Aptos" w:cs="Arial"/>
                <w:sz w:val="22"/>
                <w:szCs w:val="22"/>
              </w:rPr>
            </w:pPr>
          </w:p>
          <w:p w14:paraId="16EA6C0F" w14:textId="77777777" w:rsidR="000B4E4A" w:rsidRPr="00260823" w:rsidRDefault="000B4E4A" w:rsidP="00447EC9">
            <w:pPr>
              <w:rPr>
                <w:rFonts w:ascii="Aptos" w:hAnsi="Aptos" w:cs="Arial"/>
                <w:sz w:val="22"/>
                <w:szCs w:val="22"/>
              </w:rPr>
            </w:pPr>
          </w:p>
          <w:p w14:paraId="0EF46022" w14:textId="77777777" w:rsidR="005E1AD1" w:rsidRPr="00260823" w:rsidRDefault="005E1AD1" w:rsidP="00447EC9">
            <w:pPr>
              <w:rPr>
                <w:rFonts w:ascii="Aptos" w:hAnsi="Aptos" w:cs="Arial"/>
                <w:sz w:val="22"/>
                <w:szCs w:val="22"/>
              </w:rPr>
            </w:pPr>
          </w:p>
          <w:p w14:paraId="4404DF7B" w14:textId="77777777" w:rsidR="00C07846" w:rsidRDefault="00C07846" w:rsidP="00AC07DC">
            <w:pPr>
              <w:spacing w:line="240" w:lineRule="auto"/>
              <w:jc w:val="center"/>
              <w:rPr>
                <w:rFonts w:ascii="Aptos" w:hAnsi="Aptos" w:cs="Arial"/>
                <w:b/>
                <w:bCs/>
                <w:color w:val="EE0000"/>
              </w:rPr>
            </w:pPr>
          </w:p>
          <w:p w14:paraId="7B73478C" w14:textId="77777777" w:rsidR="00C07846" w:rsidRDefault="00C07846" w:rsidP="00AC07DC">
            <w:pPr>
              <w:spacing w:line="240" w:lineRule="auto"/>
              <w:jc w:val="center"/>
              <w:rPr>
                <w:rFonts w:ascii="Aptos" w:hAnsi="Aptos" w:cs="Arial"/>
                <w:b/>
                <w:bCs/>
                <w:color w:val="EE0000"/>
              </w:rPr>
            </w:pPr>
          </w:p>
          <w:p w14:paraId="6CE7257B" w14:textId="6859B9D0" w:rsidR="000025BF" w:rsidRDefault="00546972" w:rsidP="00AC07DC">
            <w:pPr>
              <w:spacing w:line="240" w:lineRule="auto"/>
              <w:jc w:val="center"/>
              <w:rPr>
                <w:rFonts w:ascii="Aptos" w:hAnsi="Aptos" w:cs="Arial"/>
                <w:b/>
                <w:bCs/>
                <w:color w:val="EE0000"/>
              </w:rPr>
            </w:pPr>
            <w:r w:rsidRPr="00260823">
              <w:rPr>
                <w:rFonts w:ascii="Aptos" w:hAnsi="Aptos" w:cs="Arial"/>
                <w:b/>
                <w:bCs/>
                <w:color w:val="EE0000"/>
              </w:rPr>
              <w:lastRenderedPageBreak/>
              <w:t xml:space="preserve">Détail des défaillances d’entreprises au </w:t>
            </w:r>
            <w:r w:rsidR="00021FE2">
              <w:rPr>
                <w:rFonts w:ascii="Aptos" w:hAnsi="Aptos" w:cs="Arial"/>
                <w:b/>
                <w:bCs/>
                <w:color w:val="EE0000"/>
              </w:rPr>
              <w:t>2</w:t>
            </w:r>
            <w:r w:rsidR="00021FE2" w:rsidRPr="00021FE2">
              <w:rPr>
                <w:rFonts w:ascii="Aptos" w:hAnsi="Aptos" w:cs="Arial"/>
                <w:b/>
                <w:bCs/>
                <w:color w:val="EE0000"/>
                <w:vertAlign w:val="superscript"/>
              </w:rPr>
              <w:t>ème</w:t>
            </w:r>
            <w:r w:rsidR="00021FE2">
              <w:rPr>
                <w:rFonts w:ascii="Aptos" w:hAnsi="Aptos" w:cs="Arial"/>
                <w:b/>
                <w:bCs/>
                <w:color w:val="EE0000"/>
              </w:rPr>
              <w:t xml:space="preserve"> </w:t>
            </w:r>
            <w:r w:rsidRPr="00260823">
              <w:rPr>
                <w:rFonts w:ascii="Aptos" w:hAnsi="Aptos" w:cs="Arial"/>
                <w:b/>
                <w:bCs/>
                <w:color w:val="EE0000"/>
              </w:rPr>
              <w:t>trimestre 2026 dans les régions</w:t>
            </w:r>
          </w:p>
          <w:p w14:paraId="028611C6" w14:textId="77777777" w:rsidR="00C07846" w:rsidRDefault="00C07846" w:rsidP="00AC07DC">
            <w:pPr>
              <w:spacing w:line="240" w:lineRule="auto"/>
              <w:jc w:val="center"/>
              <w:rPr>
                <w:rFonts w:ascii="Aptos" w:hAnsi="Aptos" w:cs="Arial"/>
                <w:b/>
                <w:bCs/>
                <w:color w:val="EE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5378"/>
            </w:tblGrid>
            <w:tr w:rsidR="00C07846" w:rsidRPr="00397B98" w14:paraId="630DC7B1" w14:textId="77777777" w:rsidTr="0092261C">
              <w:tc>
                <w:tcPr>
                  <w:tcW w:w="4852" w:type="dxa"/>
                </w:tcPr>
                <w:p w14:paraId="4389C159" w14:textId="77777777" w:rsidR="00C07846" w:rsidRDefault="00C07846" w:rsidP="00C07846">
                  <w:pPr>
                    <w:spacing w:line="240" w:lineRule="auto"/>
                    <w:rPr>
                      <w:rFonts w:ascii="Aptos" w:hAnsi="Aptos" w:cs="Arial"/>
                      <w:b/>
                      <w:bCs/>
                      <w:color w:val="EE0000"/>
                    </w:rPr>
                  </w:pPr>
                  <w:r>
                    <w:rPr>
                      <w:rFonts w:ascii="Aptos" w:hAnsi="Aptos" w:cs="Arial"/>
                      <w:b/>
                      <w:bCs/>
                      <w:noProof/>
                      <w:color w:val="EE0000"/>
                    </w:rPr>
                    <w:drawing>
                      <wp:inline distT="0" distB="0" distL="0" distR="0" wp14:anchorId="22B2AAD8" wp14:editId="51FFC670">
                        <wp:extent cx="2778135" cy="3325091"/>
                        <wp:effectExtent l="0" t="0" r="3175" b="8890"/>
                        <wp:docPr id="1220904270" name="Image 1" descr="The image is a map of France, color-coded to show regional population growth percentages, with regions like Occitanie and Corse showing significant increases, while some regions like Bretagne and Normandie have slight decreases.&#10;&#10;Le contenu généré par l’IA peut être incorrect.">
                          <a:extLst xmlns:a="http://schemas.openxmlformats.org/drawingml/2006/main">
                            <a:ext uri="{FF2B5EF4-FFF2-40B4-BE49-F238E27FC236}">
                              <a16:creationId xmlns:a16="http://schemas.microsoft.com/office/drawing/2014/main" id="{C80BB18F-FA87-4F74-AF79-3DE6335868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04270" name="Image 1" descr="The image is a map of France, color-coded to show regional population growth percentages, with regions like Occitanie and Corse showing significant increases, while some regions like Bretagne and Normandie have slight decreases.&#10;&#10;Le contenu généré par l’IA peut être incorrect."/>
                                <pic:cNvPicPr/>
                              </pic:nvPicPr>
                              <pic:blipFill rotWithShape="1">
                                <a:blip r:embed="rId9" cstate="print">
                                  <a:extLst>
                                    <a:ext uri="{28A0092B-C50C-407E-A947-70E740481C1C}">
                                      <a14:useLocalDpi xmlns:a14="http://schemas.microsoft.com/office/drawing/2010/main" val="0"/>
                                    </a:ext>
                                  </a:extLst>
                                </a:blip>
                                <a:srcRect t="9504"/>
                                <a:stretch>
                                  <a:fillRect/>
                                </a:stretch>
                              </pic:blipFill>
                              <pic:spPr bwMode="auto">
                                <a:xfrm>
                                  <a:off x="0" y="0"/>
                                  <a:ext cx="2823617" cy="3379527"/>
                                </a:xfrm>
                                <a:prstGeom prst="rect">
                                  <a:avLst/>
                                </a:prstGeom>
                                <a:ln>
                                  <a:noFill/>
                                </a:ln>
                                <a:extLst>
                                  <a:ext uri="{53640926-AAD7-44D8-BBD7-CCE9431645EC}">
                                    <a14:shadowObscured xmlns:a14="http://schemas.microsoft.com/office/drawing/2010/main"/>
                                  </a:ext>
                                </a:extLst>
                              </pic:spPr>
                            </pic:pic>
                          </a:graphicData>
                        </a:graphic>
                      </wp:inline>
                    </w:drawing>
                  </w:r>
                </w:p>
              </w:tc>
              <w:tc>
                <w:tcPr>
                  <w:tcW w:w="5378" w:type="dxa"/>
                </w:tcPr>
                <w:p w14:paraId="16CB42D5" w14:textId="11F0B974" w:rsidR="00C07846" w:rsidRPr="00260823" w:rsidRDefault="00C07846" w:rsidP="00F049AE">
                  <w:pPr>
                    <w:spacing w:line="240" w:lineRule="auto"/>
                    <w:rPr>
                      <w:rFonts w:ascii="Aptos" w:hAnsi="Aptos" w:cs="Arial"/>
                      <w:b/>
                      <w:bCs/>
                      <w:color w:val="0070C0"/>
                    </w:rPr>
                  </w:pPr>
                  <w:r w:rsidRPr="00260823">
                    <w:rPr>
                      <w:rFonts w:ascii="Aptos" w:hAnsi="Aptos" w:cs="Arial"/>
                      <w:b/>
                      <w:bCs/>
                      <w:color w:val="0070C0"/>
                    </w:rPr>
                    <w:t xml:space="preserve">Six régions métropolitaines </w:t>
                  </w:r>
                  <w:r w:rsidR="00F049AE">
                    <w:rPr>
                      <w:rFonts w:ascii="Aptos" w:hAnsi="Aptos" w:cs="Arial"/>
                      <w:b/>
                      <w:bCs/>
                      <w:color w:val="0070C0"/>
                    </w:rPr>
                    <w:t>passent dans le vert</w:t>
                  </w:r>
                </w:p>
                <w:p w14:paraId="0ECFB482" w14:textId="77777777" w:rsidR="00C07846" w:rsidRPr="00260823" w:rsidRDefault="00C07846" w:rsidP="00C07846">
                  <w:pPr>
                    <w:spacing w:line="240" w:lineRule="auto"/>
                    <w:rPr>
                      <w:rFonts w:ascii="Aptos" w:hAnsi="Aptos" w:cs="Arial"/>
                      <w:sz w:val="22"/>
                      <w:szCs w:val="22"/>
                    </w:rPr>
                  </w:pPr>
                </w:p>
                <w:p w14:paraId="514C8B82" w14:textId="2E900FAE" w:rsidR="00C07846" w:rsidRPr="00260823" w:rsidRDefault="00C07846" w:rsidP="00C07846">
                  <w:pPr>
                    <w:spacing w:line="240" w:lineRule="auto"/>
                    <w:rPr>
                      <w:rFonts w:ascii="Aptos" w:hAnsi="Aptos" w:cs="Arial"/>
                      <w:sz w:val="22"/>
                      <w:szCs w:val="22"/>
                    </w:rPr>
                  </w:pPr>
                  <w:r w:rsidRPr="00260823">
                    <w:rPr>
                      <w:rFonts w:ascii="Aptos" w:hAnsi="Aptos" w:cs="Arial"/>
                      <w:sz w:val="22"/>
                      <w:szCs w:val="22"/>
                    </w:rPr>
                    <w:t xml:space="preserve">La </w:t>
                  </w:r>
                  <w:r w:rsidRPr="00260823">
                    <w:rPr>
                      <w:rFonts w:ascii="Aptos" w:hAnsi="Aptos" w:cs="Arial"/>
                      <w:b/>
                      <w:bCs/>
                      <w:color w:val="00B050"/>
                      <w:sz w:val="22"/>
                      <w:szCs w:val="22"/>
                    </w:rPr>
                    <w:t>Corse</w:t>
                  </w:r>
                  <w:r w:rsidRPr="00260823">
                    <w:rPr>
                      <w:rFonts w:ascii="Aptos" w:hAnsi="Aptos" w:cs="Arial"/>
                      <w:color w:val="00B050"/>
                      <w:sz w:val="22"/>
                      <w:szCs w:val="22"/>
                    </w:rPr>
                    <w:t xml:space="preserve"> </w:t>
                  </w:r>
                  <w:r w:rsidRPr="00260823">
                    <w:rPr>
                      <w:rFonts w:ascii="Aptos" w:hAnsi="Aptos" w:cs="Arial"/>
                      <w:sz w:val="22"/>
                      <w:szCs w:val="22"/>
                    </w:rPr>
                    <w:t xml:space="preserve">enregistre 85 défaillances, soit -15,0 % sur un an. Cette baisse résulte notamment du recul observé en Haute-Corse tandis que la Corse-du-Sud </w:t>
                  </w:r>
                  <w:r w:rsidR="00834B37" w:rsidRPr="00021FE2">
                    <w:rPr>
                      <w:rFonts w:ascii="Aptos" w:hAnsi="Aptos" w:cs="Arial"/>
                      <w:sz w:val="22"/>
                      <w:szCs w:val="22"/>
                    </w:rPr>
                    <w:t>se dégrade</w:t>
                  </w:r>
                  <w:r w:rsidR="00834B37">
                    <w:rPr>
                      <w:rFonts w:ascii="Aptos" w:hAnsi="Aptos" w:cs="Arial"/>
                      <w:sz w:val="22"/>
                      <w:szCs w:val="22"/>
                    </w:rPr>
                    <w:t xml:space="preserve"> </w:t>
                  </w:r>
                  <w:r w:rsidRPr="00260823">
                    <w:rPr>
                      <w:rFonts w:ascii="Aptos" w:hAnsi="Aptos" w:cs="Arial"/>
                      <w:sz w:val="22"/>
                      <w:szCs w:val="22"/>
                    </w:rPr>
                    <w:t>rapidement.</w:t>
                  </w:r>
                </w:p>
                <w:p w14:paraId="0090E17B" w14:textId="77777777" w:rsidR="00C07846" w:rsidRPr="00260823" w:rsidRDefault="00C07846" w:rsidP="00C07846">
                  <w:pPr>
                    <w:spacing w:line="240" w:lineRule="auto"/>
                    <w:rPr>
                      <w:rFonts w:ascii="Aptos" w:hAnsi="Aptos" w:cs="Arial"/>
                      <w:sz w:val="22"/>
                      <w:szCs w:val="22"/>
                    </w:rPr>
                  </w:pPr>
                  <w:r w:rsidRPr="00260823">
                    <w:rPr>
                      <w:rFonts w:ascii="Aptos" w:hAnsi="Aptos" w:cs="Arial"/>
                      <w:sz w:val="22"/>
                      <w:szCs w:val="22"/>
                    </w:rPr>
                    <w:t xml:space="preserve">Le </w:t>
                  </w:r>
                  <w:r w:rsidRPr="00260823">
                    <w:rPr>
                      <w:rFonts w:ascii="Aptos" w:hAnsi="Aptos" w:cs="Arial"/>
                      <w:b/>
                      <w:bCs/>
                      <w:color w:val="00B050"/>
                      <w:sz w:val="22"/>
                      <w:szCs w:val="22"/>
                    </w:rPr>
                    <w:t>Centre-Val de Loire</w:t>
                  </w:r>
                  <w:r w:rsidRPr="00260823">
                    <w:rPr>
                      <w:rFonts w:ascii="Aptos" w:hAnsi="Aptos" w:cs="Arial"/>
                      <w:color w:val="00B050"/>
                      <w:sz w:val="22"/>
                      <w:szCs w:val="22"/>
                    </w:rPr>
                    <w:t xml:space="preserve"> </w:t>
                  </w:r>
                  <w:r w:rsidRPr="00260823">
                    <w:rPr>
                      <w:rFonts w:ascii="Aptos" w:hAnsi="Aptos" w:cs="Arial"/>
                      <w:sz w:val="22"/>
                      <w:szCs w:val="22"/>
                    </w:rPr>
                    <w:t>compte 479 défaillances (-12,8 %). La baisse est particulièrement forte dans le Cher, l’Indre-et-Loire et le Loir-et-Cher, tandis que le Loiret poursuit sa dégradation.</w:t>
                  </w:r>
                </w:p>
                <w:p w14:paraId="5126EAB3" w14:textId="77777777" w:rsidR="00C07846" w:rsidRDefault="00C07846" w:rsidP="00C07846">
                  <w:pPr>
                    <w:spacing w:line="240" w:lineRule="auto"/>
                    <w:rPr>
                      <w:rFonts w:ascii="Aptos" w:hAnsi="Aptos" w:cs="Arial"/>
                      <w:sz w:val="22"/>
                      <w:szCs w:val="22"/>
                    </w:rPr>
                  </w:pPr>
                  <w:r w:rsidRPr="00260823">
                    <w:rPr>
                      <w:rFonts w:ascii="Aptos" w:hAnsi="Aptos" w:cs="Arial"/>
                      <w:sz w:val="22"/>
                      <w:szCs w:val="22"/>
                    </w:rPr>
                    <w:t xml:space="preserve">La </w:t>
                  </w:r>
                  <w:r w:rsidRPr="00260823">
                    <w:rPr>
                      <w:rFonts w:ascii="Aptos" w:hAnsi="Aptos" w:cs="Arial"/>
                      <w:b/>
                      <w:bCs/>
                      <w:color w:val="00B050"/>
                      <w:sz w:val="22"/>
                      <w:szCs w:val="22"/>
                    </w:rPr>
                    <w:t>Bourgogne-Franche-Comté</w:t>
                  </w:r>
                  <w:r w:rsidRPr="00260823">
                    <w:rPr>
                      <w:rFonts w:ascii="Aptos" w:hAnsi="Aptos" w:cs="Arial"/>
                      <w:color w:val="00B050"/>
                      <w:sz w:val="22"/>
                      <w:szCs w:val="22"/>
                    </w:rPr>
                    <w:t xml:space="preserve"> </w:t>
                  </w:r>
                  <w:r w:rsidRPr="00260823">
                    <w:rPr>
                      <w:rFonts w:ascii="Aptos" w:hAnsi="Aptos" w:cs="Arial"/>
                      <w:sz w:val="22"/>
                      <w:szCs w:val="22"/>
                    </w:rPr>
                    <w:t>enregistre 468 défaillances (-8,8 %). Le recul est tiré par le Doubs et la Côte-d’Or, alors que la Saône-et-Loire est dans le rouge.</w:t>
                  </w:r>
                </w:p>
                <w:p w14:paraId="5D06A5A6" w14:textId="77777777" w:rsidR="00C07846" w:rsidRPr="00397B98" w:rsidRDefault="00C07846" w:rsidP="00C07846">
                  <w:pPr>
                    <w:spacing w:line="240" w:lineRule="auto"/>
                    <w:rPr>
                      <w:rFonts w:ascii="Aptos" w:hAnsi="Aptos" w:cs="Arial"/>
                      <w:sz w:val="22"/>
                      <w:szCs w:val="22"/>
                    </w:rPr>
                  </w:pPr>
                  <w:r w:rsidRPr="00260823">
                    <w:rPr>
                      <w:rFonts w:ascii="Aptos" w:hAnsi="Aptos" w:cs="Arial"/>
                      <w:sz w:val="22"/>
                      <w:szCs w:val="22"/>
                    </w:rPr>
                    <w:t xml:space="preserve">En </w:t>
                  </w:r>
                  <w:r w:rsidRPr="00260823">
                    <w:rPr>
                      <w:rFonts w:ascii="Aptos" w:hAnsi="Aptos" w:cs="Arial"/>
                      <w:b/>
                      <w:bCs/>
                      <w:color w:val="00B050"/>
                      <w:sz w:val="22"/>
                      <w:szCs w:val="22"/>
                    </w:rPr>
                    <w:t>Normandie</w:t>
                  </w:r>
                  <w:r w:rsidRPr="00260823">
                    <w:rPr>
                      <w:rFonts w:ascii="Aptos" w:hAnsi="Aptos" w:cs="Arial"/>
                      <w:sz w:val="22"/>
                      <w:szCs w:val="22"/>
                    </w:rPr>
                    <w:t>, les défaillances diminuent de 6,3 % pour atteindre 608 procédures. La baisse est concentrée en Seine-Maritime et dans la Manche, tandis que le Calvados est en hausse sensible.</w:t>
                  </w:r>
                </w:p>
              </w:tc>
            </w:tr>
          </w:tbl>
          <w:p w14:paraId="2BB72799" w14:textId="77777777" w:rsidR="00EF68A3" w:rsidRPr="00260823" w:rsidRDefault="00EF68A3" w:rsidP="00EF68A3">
            <w:pPr>
              <w:spacing w:line="240" w:lineRule="auto"/>
              <w:rPr>
                <w:rFonts w:ascii="Aptos" w:hAnsi="Aptos" w:cs="Arial"/>
                <w:sz w:val="22"/>
                <w:szCs w:val="22"/>
              </w:rPr>
            </w:pPr>
            <w:r w:rsidRPr="00260823">
              <w:rPr>
                <w:rFonts w:ascii="Aptos" w:hAnsi="Aptos" w:cs="Arial"/>
                <w:sz w:val="22"/>
                <w:szCs w:val="22"/>
              </w:rPr>
              <w:t xml:space="preserve">La </w:t>
            </w:r>
            <w:r w:rsidRPr="00260823">
              <w:rPr>
                <w:rFonts w:ascii="Aptos" w:hAnsi="Aptos" w:cs="Arial"/>
                <w:b/>
                <w:bCs/>
                <w:color w:val="00B050"/>
                <w:sz w:val="22"/>
                <w:szCs w:val="22"/>
              </w:rPr>
              <w:t>Bretagne</w:t>
            </w:r>
            <w:r w:rsidRPr="00260823">
              <w:rPr>
                <w:rFonts w:ascii="Aptos" w:hAnsi="Aptos" w:cs="Arial"/>
                <w:color w:val="00B050"/>
                <w:sz w:val="22"/>
                <w:szCs w:val="22"/>
              </w:rPr>
              <w:t xml:space="preserve"> </w:t>
            </w:r>
            <w:r w:rsidRPr="00260823">
              <w:rPr>
                <w:rFonts w:ascii="Aptos" w:hAnsi="Aptos" w:cs="Arial"/>
                <w:sz w:val="22"/>
                <w:szCs w:val="22"/>
              </w:rPr>
              <w:t>totalise 566 défaillances (-4,2 %). Le recul provient principalement des Côtes-d’Armor et du Morbihan, alors que le Finistère et l’Ille-et-Vilaine atteignent un nouveau point haut.</w:t>
            </w:r>
          </w:p>
          <w:p w14:paraId="675F9FB8" w14:textId="2C76D726" w:rsidR="00EF68A3" w:rsidRPr="00260823" w:rsidRDefault="00EF68A3" w:rsidP="00EF68A3">
            <w:pPr>
              <w:spacing w:line="240" w:lineRule="auto"/>
              <w:rPr>
                <w:rFonts w:ascii="Aptos" w:hAnsi="Aptos" w:cs="Arial"/>
                <w:sz w:val="22"/>
                <w:szCs w:val="22"/>
              </w:rPr>
            </w:pPr>
            <w:r w:rsidRPr="00260823">
              <w:rPr>
                <w:rFonts w:ascii="Aptos" w:hAnsi="Aptos" w:cs="Arial"/>
                <w:sz w:val="22"/>
                <w:szCs w:val="22"/>
              </w:rPr>
              <w:t xml:space="preserve">Enfin, </w:t>
            </w:r>
            <w:r w:rsidRPr="00260823">
              <w:rPr>
                <w:rFonts w:ascii="Aptos" w:hAnsi="Aptos" w:cs="Arial"/>
                <w:b/>
                <w:bCs/>
                <w:color w:val="00B050"/>
                <w:sz w:val="22"/>
                <w:szCs w:val="22"/>
              </w:rPr>
              <w:t>Provence-Alpes-Côte d’Azur</w:t>
            </w:r>
            <w:r w:rsidRPr="00260823">
              <w:rPr>
                <w:rFonts w:ascii="Aptos" w:hAnsi="Aptos" w:cs="Arial"/>
                <w:color w:val="00B050"/>
                <w:sz w:val="22"/>
                <w:szCs w:val="22"/>
              </w:rPr>
              <w:t xml:space="preserve"> </w:t>
            </w:r>
            <w:r w:rsidRPr="00260823">
              <w:rPr>
                <w:rFonts w:ascii="Aptos" w:hAnsi="Aptos" w:cs="Arial"/>
                <w:sz w:val="22"/>
                <w:szCs w:val="22"/>
              </w:rPr>
              <w:t>affiche une légère baisse de 1,1 % avec 1 523 défaillances. Les procédures reculent dans les Alpes-Maritimes et les Bouches-du-Rhône mais progressent fortement dans le Vaucluse.</w:t>
            </w:r>
          </w:p>
          <w:p w14:paraId="3BDFC845" w14:textId="77777777" w:rsidR="00AC07DC" w:rsidRPr="00260823" w:rsidRDefault="00AC07DC" w:rsidP="00AC07DC">
            <w:pPr>
              <w:spacing w:line="240" w:lineRule="auto"/>
              <w:rPr>
                <w:rFonts w:ascii="Aptos" w:hAnsi="Aptos" w:cs="Arial"/>
                <w:b/>
                <w:bCs/>
                <w:color w:val="EE0000"/>
                <w:sz w:val="22"/>
                <w:szCs w:val="22"/>
              </w:rPr>
            </w:pPr>
          </w:p>
          <w:p w14:paraId="5DC12BAD" w14:textId="376A3BEC" w:rsidR="00EF68A3" w:rsidRPr="00260823" w:rsidRDefault="00EF68A3" w:rsidP="00EF68A3">
            <w:pPr>
              <w:spacing w:line="240" w:lineRule="auto"/>
              <w:jc w:val="both"/>
              <w:rPr>
                <w:rFonts w:ascii="Aptos" w:hAnsi="Aptos" w:cs="Arial"/>
                <w:b/>
                <w:bCs/>
                <w:color w:val="0070C0"/>
              </w:rPr>
            </w:pPr>
            <w:r w:rsidRPr="00260823">
              <w:rPr>
                <w:rFonts w:ascii="Aptos" w:hAnsi="Aptos" w:cs="Arial"/>
                <w:b/>
                <w:bCs/>
                <w:color w:val="0070C0"/>
              </w:rPr>
              <w:t xml:space="preserve">Quatre régions </w:t>
            </w:r>
            <w:r w:rsidR="008D70B8">
              <w:rPr>
                <w:rFonts w:ascii="Aptos" w:hAnsi="Aptos" w:cs="Arial"/>
                <w:b/>
                <w:bCs/>
                <w:color w:val="0070C0"/>
              </w:rPr>
              <w:t>limitent la</w:t>
            </w:r>
            <w:r w:rsidRPr="00260823">
              <w:rPr>
                <w:rFonts w:ascii="Aptos" w:hAnsi="Aptos" w:cs="Arial"/>
                <w:b/>
                <w:bCs/>
                <w:color w:val="0070C0"/>
              </w:rPr>
              <w:t xml:space="preserve"> progression des défaillances</w:t>
            </w:r>
            <w:r w:rsidR="008D70B8">
              <w:rPr>
                <w:rFonts w:ascii="Aptos" w:hAnsi="Aptos" w:cs="Arial"/>
                <w:b/>
                <w:bCs/>
                <w:color w:val="0070C0"/>
              </w:rPr>
              <w:t xml:space="preserve"> sous la </w:t>
            </w:r>
            <w:r w:rsidR="0099290D">
              <w:rPr>
                <w:rFonts w:ascii="Aptos" w:hAnsi="Aptos" w:cs="Arial"/>
                <w:b/>
                <w:bCs/>
                <w:color w:val="0070C0"/>
              </w:rPr>
              <w:t>moyenne nationale</w:t>
            </w:r>
          </w:p>
          <w:p w14:paraId="56B577BE" w14:textId="77777777" w:rsidR="00EF68A3" w:rsidRPr="00260823" w:rsidRDefault="00EF68A3" w:rsidP="00EF68A3">
            <w:pPr>
              <w:spacing w:line="240" w:lineRule="auto"/>
              <w:jc w:val="both"/>
              <w:rPr>
                <w:rFonts w:ascii="Aptos" w:hAnsi="Aptos" w:cs="Arial"/>
                <w:b/>
                <w:bCs/>
                <w:color w:val="0070C0"/>
              </w:rPr>
            </w:pPr>
          </w:p>
          <w:p w14:paraId="0ABFA372" w14:textId="77777777" w:rsidR="00EF68A3" w:rsidRPr="00260823" w:rsidRDefault="00EF68A3" w:rsidP="00EF68A3">
            <w:pPr>
              <w:spacing w:line="240" w:lineRule="auto"/>
              <w:jc w:val="both"/>
              <w:rPr>
                <w:rFonts w:ascii="Aptos" w:hAnsi="Aptos" w:cs="Arial"/>
                <w:sz w:val="22"/>
                <w:szCs w:val="22"/>
              </w:rPr>
            </w:pPr>
            <w:r w:rsidRPr="00260823">
              <w:rPr>
                <w:rFonts w:ascii="Aptos" w:hAnsi="Aptos" w:cs="Arial"/>
                <w:b/>
                <w:bCs/>
                <w:color w:val="FFC000"/>
                <w:sz w:val="22"/>
                <w:szCs w:val="22"/>
              </w:rPr>
              <w:t>L’Île-de-France</w:t>
            </w:r>
            <w:r w:rsidRPr="00260823">
              <w:rPr>
                <w:rFonts w:ascii="Aptos" w:hAnsi="Aptos" w:cs="Arial"/>
                <w:color w:val="FFC000"/>
                <w:sz w:val="22"/>
                <w:szCs w:val="22"/>
              </w:rPr>
              <w:t xml:space="preserve"> </w:t>
            </w:r>
            <w:r w:rsidRPr="00260823">
              <w:rPr>
                <w:rFonts w:ascii="Aptos" w:hAnsi="Aptos" w:cs="Arial"/>
                <w:sz w:val="22"/>
                <w:szCs w:val="22"/>
              </w:rPr>
              <w:t>demeure naturellement la région la plus touchée avec 4 305 défaillances mais la hausse est contenue à 4,8 %. Cette progression est portée par les Hauts-de-Seine, l’Essonne et la Seine-Saint-Denis et Paris. Les autres départements franciliens amorcent un recul.</w:t>
            </w:r>
          </w:p>
          <w:p w14:paraId="74EE03B5" w14:textId="77777777" w:rsidR="00EF68A3" w:rsidRPr="00260823" w:rsidRDefault="00EF68A3" w:rsidP="00EF68A3">
            <w:pPr>
              <w:spacing w:line="240" w:lineRule="auto"/>
              <w:jc w:val="both"/>
              <w:rPr>
                <w:rFonts w:ascii="Aptos" w:hAnsi="Aptos" w:cs="Arial"/>
                <w:sz w:val="22"/>
                <w:szCs w:val="22"/>
              </w:rPr>
            </w:pPr>
            <w:r w:rsidRPr="00260823">
              <w:rPr>
                <w:rFonts w:ascii="Aptos" w:hAnsi="Aptos" w:cs="Arial"/>
                <w:sz w:val="22"/>
                <w:szCs w:val="22"/>
              </w:rPr>
              <w:t xml:space="preserve">La </w:t>
            </w:r>
            <w:r w:rsidRPr="00260823">
              <w:rPr>
                <w:rFonts w:ascii="Aptos" w:hAnsi="Aptos" w:cs="Arial"/>
                <w:b/>
                <w:bCs/>
                <w:color w:val="FFC000"/>
                <w:sz w:val="22"/>
                <w:szCs w:val="22"/>
              </w:rPr>
              <w:t>Nouvelle-Aquitaine</w:t>
            </w:r>
            <w:r w:rsidRPr="00260823">
              <w:rPr>
                <w:rFonts w:ascii="Aptos" w:hAnsi="Aptos" w:cs="Arial"/>
                <w:color w:val="FFC000"/>
                <w:sz w:val="22"/>
                <w:szCs w:val="22"/>
              </w:rPr>
              <w:t xml:space="preserve"> </w:t>
            </w:r>
            <w:r w:rsidRPr="00260823">
              <w:rPr>
                <w:rFonts w:ascii="Aptos" w:hAnsi="Aptos" w:cs="Arial"/>
                <w:sz w:val="22"/>
                <w:szCs w:val="22"/>
              </w:rPr>
              <w:t>enregistre 1 704 défaillances (+4,9 %). La moitié des départements passe au vert, notamment, la Charente-Maritime ou le Lot-et-Garonne. Pyrénées-Atlantiques et Haute-Vienne accusent des hausses sensibles.</w:t>
            </w:r>
          </w:p>
          <w:p w14:paraId="6A1138E7" w14:textId="77777777" w:rsidR="00EF68A3" w:rsidRPr="00260823" w:rsidRDefault="00EF68A3" w:rsidP="00EF68A3">
            <w:pPr>
              <w:spacing w:line="240" w:lineRule="auto"/>
              <w:jc w:val="both"/>
              <w:rPr>
                <w:rFonts w:ascii="Aptos" w:hAnsi="Aptos" w:cs="Arial"/>
                <w:sz w:val="22"/>
                <w:szCs w:val="22"/>
              </w:rPr>
            </w:pPr>
            <w:r w:rsidRPr="00260823">
              <w:rPr>
                <w:rFonts w:ascii="Aptos" w:hAnsi="Aptos" w:cs="Arial"/>
                <w:sz w:val="22"/>
                <w:szCs w:val="22"/>
              </w:rPr>
              <w:t xml:space="preserve">Le </w:t>
            </w:r>
            <w:r w:rsidRPr="00260823">
              <w:rPr>
                <w:rFonts w:ascii="Aptos" w:hAnsi="Aptos" w:cs="Arial"/>
                <w:b/>
                <w:bCs/>
                <w:color w:val="FFC000"/>
                <w:sz w:val="22"/>
                <w:szCs w:val="22"/>
              </w:rPr>
              <w:t>Grand-Est</w:t>
            </w:r>
            <w:r w:rsidRPr="00260823">
              <w:rPr>
                <w:rFonts w:ascii="Aptos" w:hAnsi="Aptos" w:cs="Arial"/>
                <w:color w:val="FFC000"/>
                <w:sz w:val="22"/>
                <w:szCs w:val="22"/>
              </w:rPr>
              <w:t xml:space="preserve"> </w:t>
            </w:r>
            <w:r w:rsidRPr="00260823">
              <w:rPr>
                <w:rFonts w:ascii="Aptos" w:hAnsi="Aptos" w:cs="Arial"/>
                <w:sz w:val="22"/>
                <w:szCs w:val="22"/>
              </w:rPr>
              <w:t xml:space="preserve">totalise 1 103 défaillances (+3,1 %). Les progressions les plus marquées concernent la Haute-Marne, la Meuse et la Marne, tandis que la Moselle s’améliore. </w:t>
            </w:r>
          </w:p>
          <w:p w14:paraId="31C0E364" w14:textId="77777777" w:rsidR="00EF68A3" w:rsidRPr="00260823" w:rsidRDefault="00EF68A3" w:rsidP="00EF68A3">
            <w:pPr>
              <w:spacing w:line="240" w:lineRule="auto"/>
              <w:jc w:val="both"/>
              <w:rPr>
                <w:rFonts w:ascii="Aptos" w:hAnsi="Aptos" w:cs="Arial"/>
                <w:sz w:val="22"/>
                <w:szCs w:val="22"/>
              </w:rPr>
            </w:pPr>
            <w:r w:rsidRPr="00260823">
              <w:rPr>
                <w:rFonts w:ascii="Aptos" w:hAnsi="Aptos" w:cs="Arial"/>
                <w:sz w:val="22"/>
                <w:szCs w:val="22"/>
              </w:rPr>
              <w:t xml:space="preserve">Les </w:t>
            </w:r>
            <w:r w:rsidRPr="00260823">
              <w:rPr>
                <w:rFonts w:ascii="Aptos" w:hAnsi="Aptos" w:cs="Arial"/>
                <w:b/>
                <w:bCs/>
                <w:color w:val="FFC000"/>
                <w:sz w:val="22"/>
                <w:szCs w:val="22"/>
              </w:rPr>
              <w:t>Pays de la Loire</w:t>
            </w:r>
            <w:r w:rsidRPr="00260823">
              <w:rPr>
                <w:rFonts w:ascii="Aptos" w:hAnsi="Aptos" w:cs="Arial"/>
                <w:color w:val="FFC000"/>
                <w:sz w:val="22"/>
                <w:szCs w:val="22"/>
              </w:rPr>
              <w:t xml:space="preserve"> </w:t>
            </w:r>
            <w:r w:rsidRPr="00260823">
              <w:rPr>
                <w:rFonts w:ascii="Aptos" w:hAnsi="Aptos" w:cs="Arial"/>
                <w:sz w:val="22"/>
                <w:szCs w:val="22"/>
              </w:rPr>
              <w:t>sont presque stables avec 767 défaillances (+1,5 %). La sinistralité recule nettement dans la Sarthe et augmente fortement en Vendée.</w:t>
            </w:r>
          </w:p>
          <w:p w14:paraId="4FE03544" w14:textId="77777777" w:rsidR="00EF68A3" w:rsidRPr="00260823" w:rsidRDefault="00EF68A3" w:rsidP="00EF68A3">
            <w:pPr>
              <w:spacing w:line="240" w:lineRule="auto"/>
              <w:jc w:val="both"/>
              <w:rPr>
                <w:rFonts w:ascii="Aptos" w:hAnsi="Aptos" w:cs="Arial"/>
                <w:sz w:val="22"/>
                <w:szCs w:val="22"/>
              </w:rPr>
            </w:pPr>
          </w:p>
          <w:p w14:paraId="6768458C" w14:textId="77777777" w:rsidR="00EF68A3" w:rsidRPr="00260823" w:rsidRDefault="00EF68A3" w:rsidP="00EF68A3">
            <w:pPr>
              <w:spacing w:line="240" w:lineRule="auto"/>
              <w:jc w:val="both"/>
              <w:rPr>
                <w:rFonts w:ascii="Aptos" w:hAnsi="Aptos" w:cs="Arial"/>
                <w:b/>
                <w:bCs/>
                <w:color w:val="0070C0"/>
              </w:rPr>
            </w:pPr>
            <w:r w:rsidRPr="00260823">
              <w:rPr>
                <w:rFonts w:ascii="Aptos" w:hAnsi="Aptos" w:cs="Arial"/>
                <w:b/>
                <w:bCs/>
                <w:color w:val="0070C0"/>
              </w:rPr>
              <w:t>Les tensions sont plus marquées dans trois grandes régions.</w:t>
            </w:r>
          </w:p>
          <w:p w14:paraId="2640EF84" w14:textId="77777777" w:rsidR="00EF68A3" w:rsidRPr="00260823" w:rsidRDefault="00EF68A3" w:rsidP="00EF68A3">
            <w:pPr>
              <w:spacing w:line="240" w:lineRule="auto"/>
              <w:jc w:val="both"/>
              <w:rPr>
                <w:rFonts w:ascii="Aptos" w:hAnsi="Aptos" w:cs="Arial"/>
                <w:b/>
                <w:bCs/>
                <w:color w:val="0070C0"/>
              </w:rPr>
            </w:pPr>
          </w:p>
          <w:p w14:paraId="243164C2" w14:textId="33B0D0D3" w:rsidR="00EF68A3" w:rsidRPr="00260823" w:rsidRDefault="00EF68A3" w:rsidP="00EF68A3">
            <w:pPr>
              <w:spacing w:line="240" w:lineRule="auto"/>
              <w:jc w:val="both"/>
              <w:rPr>
                <w:rFonts w:ascii="Aptos" w:hAnsi="Aptos" w:cs="Arial"/>
                <w:sz w:val="22"/>
                <w:szCs w:val="22"/>
              </w:rPr>
            </w:pPr>
            <w:r w:rsidRPr="001727AD">
              <w:rPr>
                <w:rFonts w:ascii="Aptos" w:hAnsi="Aptos" w:cs="Arial"/>
                <w:b/>
                <w:bCs/>
                <w:color w:val="C00000"/>
                <w:sz w:val="22"/>
                <w:szCs w:val="22"/>
              </w:rPr>
              <w:t>L’Occitanie</w:t>
            </w:r>
            <w:r w:rsidRPr="00260823">
              <w:rPr>
                <w:rFonts w:ascii="Aptos" w:hAnsi="Aptos" w:cs="Arial"/>
                <w:sz w:val="22"/>
                <w:szCs w:val="22"/>
              </w:rPr>
              <w:t xml:space="preserve"> enregistre 1 533 défaillances, soit +6,8 %. La hausse est tirée par l’Hérault mais huit autres départements sont également dans le rouge. A l’inverse, le nombre de défauts recule en Haute-Garonne.</w:t>
            </w:r>
          </w:p>
          <w:p w14:paraId="15F33D19" w14:textId="77777777" w:rsidR="00EF68A3" w:rsidRPr="00260823" w:rsidRDefault="00EF68A3" w:rsidP="00EF68A3">
            <w:pPr>
              <w:spacing w:line="240" w:lineRule="auto"/>
              <w:jc w:val="both"/>
              <w:rPr>
                <w:rFonts w:ascii="Aptos" w:hAnsi="Aptos" w:cs="Arial"/>
                <w:sz w:val="22"/>
                <w:szCs w:val="22"/>
              </w:rPr>
            </w:pPr>
            <w:r w:rsidRPr="00260823">
              <w:rPr>
                <w:rFonts w:ascii="Aptos" w:hAnsi="Aptos" w:cs="Arial"/>
                <w:sz w:val="22"/>
                <w:szCs w:val="22"/>
              </w:rPr>
              <w:t xml:space="preserve">Les </w:t>
            </w:r>
            <w:r w:rsidRPr="001727AD">
              <w:rPr>
                <w:rFonts w:ascii="Aptos" w:hAnsi="Aptos" w:cs="Arial"/>
                <w:b/>
                <w:bCs/>
                <w:color w:val="C00000"/>
                <w:sz w:val="22"/>
                <w:szCs w:val="22"/>
              </w:rPr>
              <w:t>Hauts-de-France</w:t>
            </w:r>
            <w:r w:rsidRPr="00260823">
              <w:rPr>
                <w:rFonts w:ascii="Aptos" w:hAnsi="Aptos" w:cs="Arial"/>
                <w:sz w:val="22"/>
                <w:szCs w:val="22"/>
              </w:rPr>
              <w:t xml:space="preserve"> comptent 1 247 défaillances (+8,5 %). Cette dégradation est portée par le Nord, le Pas-de-Calais et l’Aisne. </w:t>
            </w:r>
          </w:p>
          <w:p w14:paraId="2F7B9AA9" w14:textId="4DB9006D" w:rsidR="00EF68A3" w:rsidRPr="00260823" w:rsidRDefault="00EF68A3" w:rsidP="00EF68A3">
            <w:pPr>
              <w:spacing w:line="240" w:lineRule="auto"/>
              <w:jc w:val="both"/>
              <w:rPr>
                <w:rFonts w:ascii="Aptos" w:hAnsi="Aptos" w:cs="Arial"/>
                <w:sz w:val="22"/>
                <w:szCs w:val="22"/>
              </w:rPr>
            </w:pPr>
            <w:r w:rsidRPr="00260823">
              <w:rPr>
                <w:rFonts w:ascii="Aptos" w:hAnsi="Aptos" w:cs="Arial"/>
                <w:sz w:val="22"/>
                <w:szCs w:val="22"/>
              </w:rPr>
              <w:t xml:space="preserve">La situation est particulièrement tendue en </w:t>
            </w:r>
            <w:r w:rsidRPr="001727AD">
              <w:rPr>
                <w:rFonts w:ascii="Aptos" w:hAnsi="Aptos" w:cs="Arial"/>
                <w:b/>
                <w:bCs/>
                <w:color w:val="C00000"/>
                <w:sz w:val="22"/>
                <w:szCs w:val="22"/>
              </w:rPr>
              <w:t>Auvergne-Rhône-Alpes</w:t>
            </w:r>
            <w:r w:rsidRPr="00260823">
              <w:rPr>
                <w:rFonts w:ascii="Aptos" w:hAnsi="Aptos" w:cs="Arial"/>
                <w:sz w:val="22"/>
                <w:szCs w:val="22"/>
              </w:rPr>
              <w:t>, où les défaillances bondissent de 22,9</w:t>
            </w:r>
            <w:r w:rsidR="001727AD">
              <w:rPr>
                <w:rFonts w:ascii="Aptos" w:hAnsi="Aptos" w:cs="Arial"/>
                <w:sz w:val="22"/>
                <w:szCs w:val="22"/>
              </w:rPr>
              <w:t> </w:t>
            </w:r>
            <w:r w:rsidRPr="00260823">
              <w:rPr>
                <w:rFonts w:ascii="Aptos" w:hAnsi="Aptos" w:cs="Arial"/>
                <w:sz w:val="22"/>
                <w:szCs w:val="22"/>
              </w:rPr>
              <w:t xml:space="preserve">% pour atteindre 2 418 procédures. La hausse est </w:t>
            </w:r>
            <w:r w:rsidR="00D964CB">
              <w:rPr>
                <w:rFonts w:ascii="Aptos" w:hAnsi="Aptos" w:cs="Arial"/>
                <w:sz w:val="22"/>
                <w:szCs w:val="22"/>
              </w:rPr>
              <w:t>portée</w:t>
            </w:r>
            <w:r w:rsidRPr="00260823">
              <w:rPr>
                <w:rFonts w:ascii="Aptos" w:hAnsi="Aptos" w:cs="Arial"/>
                <w:sz w:val="22"/>
                <w:szCs w:val="22"/>
              </w:rPr>
              <w:t xml:space="preserve"> par le Rhône et l’Isère. Seuls deux départements, l’Ain et le Cantal s’améliorent.</w:t>
            </w:r>
          </w:p>
          <w:p w14:paraId="33E9102D" w14:textId="77777777" w:rsidR="00EF68A3" w:rsidRPr="00260823" w:rsidRDefault="00EF68A3" w:rsidP="00EF68A3">
            <w:pPr>
              <w:spacing w:line="240" w:lineRule="auto"/>
              <w:jc w:val="both"/>
              <w:rPr>
                <w:rFonts w:ascii="Aptos" w:hAnsi="Aptos" w:cs="Arial"/>
                <w:b/>
                <w:bCs/>
                <w:sz w:val="22"/>
                <w:szCs w:val="22"/>
                <w:highlight w:val="green"/>
              </w:rPr>
            </w:pPr>
          </w:p>
          <w:p w14:paraId="0F1E4C77" w14:textId="77777777" w:rsidR="00EF68A3" w:rsidRPr="00260823" w:rsidRDefault="00EF68A3" w:rsidP="00EF68A3">
            <w:pPr>
              <w:spacing w:line="240" w:lineRule="auto"/>
              <w:jc w:val="both"/>
              <w:rPr>
                <w:rFonts w:ascii="Aptos" w:hAnsi="Aptos" w:cs="Arial"/>
                <w:b/>
                <w:bCs/>
                <w:color w:val="0070C0"/>
              </w:rPr>
            </w:pPr>
            <w:r w:rsidRPr="00260823">
              <w:rPr>
                <w:rFonts w:ascii="Aptos" w:hAnsi="Aptos" w:cs="Arial"/>
                <w:b/>
                <w:bCs/>
                <w:color w:val="0070C0"/>
              </w:rPr>
              <w:t>L’outre-mer marquée par de fortes augmentations</w:t>
            </w:r>
          </w:p>
          <w:p w14:paraId="18683AF6" w14:textId="77777777" w:rsidR="00EF68A3" w:rsidRPr="00260823" w:rsidRDefault="00EF68A3" w:rsidP="00EF68A3">
            <w:pPr>
              <w:spacing w:line="240" w:lineRule="auto"/>
              <w:jc w:val="both"/>
              <w:rPr>
                <w:rFonts w:ascii="Aptos" w:hAnsi="Aptos" w:cs="Arial"/>
                <w:b/>
                <w:bCs/>
                <w:color w:val="0070C0"/>
              </w:rPr>
            </w:pPr>
          </w:p>
          <w:p w14:paraId="71AABF03" w14:textId="77777777" w:rsidR="00EF68A3" w:rsidRDefault="00EF68A3" w:rsidP="00EF68A3">
            <w:pPr>
              <w:spacing w:line="240" w:lineRule="auto"/>
              <w:rPr>
                <w:rFonts w:ascii="Aptos" w:hAnsi="Aptos" w:cs="Arial"/>
                <w:sz w:val="22"/>
                <w:szCs w:val="22"/>
              </w:rPr>
            </w:pPr>
            <w:r w:rsidRPr="00260823">
              <w:rPr>
                <w:rFonts w:ascii="Aptos" w:hAnsi="Aptos" w:cs="Arial"/>
                <w:sz w:val="22"/>
                <w:szCs w:val="22"/>
              </w:rPr>
              <w:t xml:space="preserve">La </w:t>
            </w:r>
            <w:r w:rsidRPr="00260823">
              <w:rPr>
                <w:rFonts w:ascii="Aptos" w:hAnsi="Aptos" w:cs="Arial"/>
                <w:b/>
                <w:bCs/>
                <w:color w:val="C00000"/>
                <w:sz w:val="22"/>
                <w:szCs w:val="22"/>
              </w:rPr>
              <w:t>Guadeloupe</w:t>
            </w:r>
            <w:r w:rsidRPr="00260823">
              <w:rPr>
                <w:rFonts w:ascii="Aptos" w:hAnsi="Aptos" w:cs="Arial"/>
                <w:color w:val="C00000"/>
                <w:sz w:val="22"/>
                <w:szCs w:val="22"/>
              </w:rPr>
              <w:t xml:space="preserve"> </w:t>
            </w:r>
            <w:r w:rsidRPr="00260823">
              <w:rPr>
                <w:rFonts w:ascii="Aptos" w:hAnsi="Aptos" w:cs="Arial"/>
                <w:sz w:val="22"/>
                <w:szCs w:val="22"/>
              </w:rPr>
              <w:t xml:space="preserve">enregistre 136 défaillances (+40,2 %), la </w:t>
            </w:r>
            <w:r w:rsidRPr="00260823">
              <w:rPr>
                <w:rFonts w:ascii="Aptos" w:hAnsi="Aptos" w:cs="Arial"/>
                <w:b/>
                <w:bCs/>
                <w:color w:val="C00000"/>
                <w:sz w:val="22"/>
                <w:szCs w:val="22"/>
              </w:rPr>
              <w:t>Martinique</w:t>
            </w:r>
            <w:r w:rsidRPr="00260823">
              <w:rPr>
                <w:rFonts w:ascii="Aptos" w:hAnsi="Aptos" w:cs="Arial"/>
                <w:color w:val="C00000"/>
                <w:sz w:val="22"/>
                <w:szCs w:val="22"/>
              </w:rPr>
              <w:t xml:space="preserve"> </w:t>
            </w:r>
            <w:r w:rsidRPr="00260823">
              <w:rPr>
                <w:rFonts w:ascii="Aptos" w:hAnsi="Aptos" w:cs="Arial"/>
                <w:sz w:val="22"/>
                <w:szCs w:val="22"/>
              </w:rPr>
              <w:t xml:space="preserve">135 défaillances (+17,4 %) et la </w:t>
            </w:r>
            <w:r w:rsidRPr="00260823">
              <w:rPr>
                <w:rFonts w:ascii="Aptos" w:hAnsi="Aptos" w:cs="Arial"/>
                <w:b/>
                <w:bCs/>
                <w:color w:val="C00000"/>
                <w:sz w:val="22"/>
                <w:szCs w:val="22"/>
              </w:rPr>
              <w:t>Guyane</w:t>
            </w:r>
            <w:r w:rsidRPr="00260823">
              <w:rPr>
                <w:rFonts w:ascii="Aptos" w:hAnsi="Aptos" w:cs="Arial"/>
                <w:color w:val="C00000"/>
                <w:sz w:val="22"/>
                <w:szCs w:val="22"/>
              </w:rPr>
              <w:t xml:space="preserve"> </w:t>
            </w:r>
            <w:r w:rsidRPr="00260823">
              <w:rPr>
                <w:rFonts w:ascii="Aptos" w:hAnsi="Aptos" w:cs="Arial"/>
                <w:sz w:val="22"/>
                <w:szCs w:val="22"/>
              </w:rPr>
              <w:t xml:space="preserve">58 défaillances (+13,7 %). À La </w:t>
            </w:r>
            <w:r w:rsidRPr="00260823">
              <w:rPr>
                <w:rFonts w:ascii="Aptos" w:hAnsi="Aptos" w:cs="Arial"/>
                <w:b/>
                <w:bCs/>
                <w:color w:val="C00000"/>
                <w:sz w:val="22"/>
                <w:szCs w:val="22"/>
              </w:rPr>
              <w:t>Réunion</w:t>
            </w:r>
            <w:r w:rsidRPr="00260823">
              <w:rPr>
                <w:rFonts w:ascii="Aptos" w:hAnsi="Aptos" w:cs="Arial"/>
                <w:sz w:val="22"/>
                <w:szCs w:val="22"/>
              </w:rPr>
              <w:t>, les procédures bondissent à 330 cas (+32,0 %), tandis que Mayotte ne compte que 7 défaillances.</w:t>
            </w:r>
          </w:p>
          <w:p w14:paraId="7C2621D8" w14:textId="77777777" w:rsidR="00870214" w:rsidRDefault="00870214" w:rsidP="00EF68A3">
            <w:pPr>
              <w:spacing w:line="240" w:lineRule="auto"/>
              <w:rPr>
                <w:rFonts w:ascii="Aptos" w:hAnsi="Aptos" w:cs="Arial"/>
                <w:sz w:val="22"/>
                <w:szCs w:val="22"/>
              </w:rPr>
            </w:pPr>
          </w:p>
          <w:p w14:paraId="1BE87E05" w14:textId="77777777" w:rsidR="00870214" w:rsidRPr="00870214" w:rsidRDefault="00870214" w:rsidP="00870214">
            <w:pPr>
              <w:spacing w:line="240" w:lineRule="auto"/>
              <w:jc w:val="both"/>
              <w:rPr>
                <w:rFonts w:ascii="Aptos" w:hAnsi="Aptos" w:cs="Arial"/>
                <w:b/>
                <w:bCs/>
                <w:color w:val="0070C0"/>
              </w:rPr>
            </w:pPr>
            <w:r w:rsidRPr="00870214">
              <w:rPr>
                <w:rFonts w:ascii="Aptos" w:hAnsi="Aptos" w:cs="Arial"/>
                <w:b/>
                <w:bCs/>
                <w:color w:val="0070C0"/>
              </w:rPr>
              <w:lastRenderedPageBreak/>
              <w:t>Le reflux des défaillances se fait attendre dans une économie sans élan</w:t>
            </w:r>
          </w:p>
          <w:p w14:paraId="41373CD0" w14:textId="77777777" w:rsidR="00870214" w:rsidRPr="00870214" w:rsidRDefault="00870214" w:rsidP="00870214">
            <w:pPr>
              <w:spacing w:line="240" w:lineRule="auto"/>
              <w:rPr>
                <w:rFonts w:ascii="Aptos" w:hAnsi="Aptos" w:cs="Arial"/>
                <w:sz w:val="22"/>
                <w:szCs w:val="22"/>
              </w:rPr>
            </w:pPr>
            <w:r w:rsidRPr="00870214">
              <w:rPr>
                <w:rFonts w:ascii="Aptos" w:hAnsi="Aptos" w:cs="Arial"/>
                <w:sz w:val="22"/>
                <w:szCs w:val="22"/>
              </w:rPr>
              <w:t> </w:t>
            </w:r>
          </w:p>
          <w:p w14:paraId="6F98E304" w14:textId="225DF238" w:rsidR="003D6818" w:rsidRDefault="003D6818" w:rsidP="003D6818">
            <w:pPr>
              <w:jc w:val="both"/>
              <w:rPr>
                <w:sz w:val="22"/>
                <w:szCs w:val="22"/>
              </w:rPr>
            </w:pPr>
            <w:r>
              <w:rPr>
                <w:b/>
                <w:bCs/>
                <w:sz w:val="22"/>
                <w:szCs w:val="22"/>
              </w:rPr>
              <w:t xml:space="preserve">Thierry Millon, Directeur des </w:t>
            </w:r>
            <w:r w:rsidRPr="00021FE2">
              <w:rPr>
                <w:b/>
                <w:bCs/>
                <w:sz w:val="22"/>
                <w:szCs w:val="22"/>
              </w:rPr>
              <w:t>études Altares conclu</w:t>
            </w:r>
            <w:r w:rsidR="00021FE2" w:rsidRPr="00021FE2">
              <w:rPr>
                <w:b/>
                <w:bCs/>
                <w:sz w:val="22"/>
                <w:szCs w:val="22"/>
              </w:rPr>
              <w:t>t</w:t>
            </w:r>
            <w:r w:rsidRPr="00021FE2">
              <w:rPr>
                <w:b/>
                <w:bCs/>
                <w:sz w:val="22"/>
                <w:szCs w:val="22"/>
              </w:rPr>
              <w:t> :</w:t>
            </w:r>
            <w:r w:rsidRPr="00021FE2">
              <w:rPr>
                <w:sz w:val="22"/>
                <w:szCs w:val="22"/>
              </w:rPr>
              <w:t xml:space="preserve"> « L’économie française résiste mais s’essouffle. Les prévisions de croissance s’orientent désormais sur un taux de + 0,7 %, un scénario incompatible avec un reflux des défaillances d’entreprises. Les épisodes successifs de canicule pourraient encore accentuer le ralentissement en pesant sur la consommation, la productivité et les secteurs particulièrement exposés. Face à une demande atone et à des coûts d’exploitation toujours élevés, les entreprises mobilisent davantage leurs ressources de trésorerie. Cette situation fragilise en premier lieu les TPE et les PME, qui concentrent l’essentiel des défaillances. Et les facteurs « aggravants » ne sont plus ceux que l’on a longtemps pointé du doigt : les PGE sont quasiment soldés (1) et les assignations URSSAF</w:t>
            </w:r>
            <w:r w:rsidR="00021FE2" w:rsidRPr="00021FE2">
              <w:rPr>
                <w:strike/>
                <w:sz w:val="22"/>
                <w:szCs w:val="22"/>
              </w:rPr>
              <w:t xml:space="preserve"> </w:t>
            </w:r>
            <w:r w:rsidRPr="00021FE2">
              <w:rPr>
                <w:sz w:val="22"/>
                <w:szCs w:val="22"/>
              </w:rPr>
              <w:t>ont rarement aussi peu pesé dans les ouvertures de procédures (2). La fragilité des entreprises n'est plus à chercher dans les dispositifs hérités de la gestion de la crise sanitaire mais dans une conjoncture qui affaiblit brutalement l'équilibre financier des entreprises. La demande intérieure reste atone, l’investissement sélectif, le marché du travail se tend et les entreprises arbitrent davantage entre prudence financière et nécessité d’adaptation. Dans ces conditions, l’hypothèse de 34 000 à 35 000 nouvelles procédures collectives au second semestre apparaît vraisemblable. L’enjeu est alors moins de développer le business que de préserver les capacités de rebond en sécurisant trésoreries, investissement et chaînes d’approvisionnement. »</w:t>
            </w:r>
          </w:p>
          <w:p w14:paraId="098AD7D5" w14:textId="4A85EFF3" w:rsidR="00870214" w:rsidRPr="00870214" w:rsidRDefault="00870214" w:rsidP="00DA3CEF">
            <w:pPr>
              <w:spacing w:line="240" w:lineRule="auto"/>
              <w:ind w:left="720"/>
              <w:rPr>
                <w:rFonts w:ascii="Aptos" w:hAnsi="Aptos" w:cs="Arial"/>
                <w:sz w:val="22"/>
                <w:szCs w:val="22"/>
              </w:rPr>
            </w:pPr>
          </w:p>
          <w:p w14:paraId="0BC1490D" w14:textId="77777777" w:rsidR="00C15B46" w:rsidRDefault="00C15B46" w:rsidP="00C15B46">
            <w:pPr>
              <w:pStyle w:val="Paragraphedeliste"/>
              <w:numPr>
                <w:ilvl w:val="0"/>
                <w:numId w:val="3"/>
              </w:numPr>
              <w:spacing w:line="240" w:lineRule="auto"/>
              <w:rPr>
                <w:rFonts w:ascii="Aptos" w:hAnsi="Aptos" w:cs="Arial"/>
                <w:sz w:val="22"/>
                <w:szCs w:val="22"/>
              </w:rPr>
            </w:pPr>
            <w:r>
              <w:rPr>
                <w:rFonts w:ascii="Aptos" w:hAnsi="Aptos" w:cs="Arial"/>
                <w:sz w:val="22"/>
                <w:szCs w:val="22"/>
              </w:rPr>
              <w:t xml:space="preserve">Source - </w:t>
            </w:r>
            <w:hyperlink r:id="rId10" w:tooltip="https://www.fbf.fr/fr/derniers-chiffres-du-financement-des-entreprises/" w:history="1">
              <w:r w:rsidR="00870214" w:rsidRPr="00C15B46">
                <w:rPr>
                  <w:rStyle w:val="Lienhypertexte"/>
                  <w:rFonts w:ascii="Aptos" w:hAnsi="Aptos" w:cs="Arial"/>
                  <w:sz w:val="22"/>
                  <w:szCs w:val="22"/>
                </w:rPr>
                <w:t>Financement des entreprises FBF 2026-06</w:t>
              </w:r>
            </w:hyperlink>
          </w:p>
          <w:p w14:paraId="033E4518" w14:textId="73F4A740" w:rsidR="00870214" w:rsidRPr="00C15B46" w:rsidRDefault="00C15B46" w:rsidP="00C15B46">
            <w:pPr>
              <w:pStyle w:val="Paragraphedeliste"/>
              <w:numPr>
                <w:ilvl w:val="0"/>
                <w:numId w:val="3"/>
              </w:numPr>
              <w:spacing w:line="240" w:lineRule="auto"/>
              <w:rPr>
                <w:rFonts w:ascii="Aptos" w:hAnsi="Aptos" w:cs="Arial"/>
                <w:sz w:val="22"/>
                <w:szCs w:val="22"/>
              </w:rPr>
            </w:pPr>
            <w:r w:rsidRPr="00C15B46">
              <w:rPr>
                <w:rFonts w:ascii="Aptos" w:hAnsi="Aptos" w:cs="Arial"/>
                <w:sz w:val="22"/>
                <w:szCs w:val="22"/>
              </w:rPr>
              <w:t xml:space="preserve">Source - </w:t>
            </w:r>
            <w:hyperlink r:id="rId11" w:tooltip="https://www.urssaf.org/accueil/statistiques/nos-etudes-et-analyses/notre-publication-mensuelle/barometres-2026/indicateurs-urssaf-fin-mai2026.html" w:history="1">
              <w:r w:rsidR="00870214" w:rsidRPr="00C15B46">
                <w:rPr>
                  <w:rStyle w:val="Lienhypertexte"/>
                  <w:rFonts w:ascii="Aptos" w:hAnsi="Aptos" w:cs="Arial"/>
                  <w:sz w:val="22"/>
                  <w:szCs w:val="22"/>
                </w:rPr>
                <w:t xml:space="preserve">Baromètre économique </w:t>
              </w:r>
              <w:proofErr w:type="gramStart"/>
              <w:r w:rsidR="00870214" w:rsidRPr="00C15B46">
                <w:rPr>
                  <w:rStyle w:val="Lienhypertexte"/>
                  <w:rFonts w:ascii="Aptos" w:hAnsi="Aptos" w:cs="Arial"/>
                  <w:sz w:val="22"/>
                  <w:szCs w:val="22"/>
                </w:rPr>
                <w:t>Urssaf  2026</w:t>
              </w:r>
              <w:proofErr w:type="gramEnd"/>
              <w:r w:rsidR="00870214" w:rsidRPr="00C15B46">
                <w:rPr>
                  <w:rStyle w:val="Lienhypertexte"/>
                  <w:rFonts w:ascii="Aptos" w:hAnsi="Aptos" w:cs="Arial"/>
                  <w:sz w:val="22"/>
                  <w:szCs w:val="22"/>
                </w:rPr>
                <w:t>-06</w:t>
              </w:r>
            </w:hyperlink>
          </w:p>
          <w:p w14:paraId="72CF0AAA" w14:textId="77777777" w:rsidR="00870214" w:rsidRDefault="00870214" w:rsidP="00EF68A3">
            <w:pPr>
              <w:spacing w:line="240" w:lineRule="auto"/>
              <w:rPr>
                <w:rFonts w:ascii="Aptos" w:hAnsi="Aptos" w:cs="Arial"/>
                <w:sz w:val="22"/>
                <w:szCs w:val="22"/>
              </w:rPr>
            </w:pPr>
          </w:p>
          <w:p w14:paraId="0FA68BC1" w14:textId="50D9F113" w:rsidR="00325264" w:rsidRPr="00BF169D" w:rsidRDefault="00450DAC" w:rsidP="00325264">
            <w:pPr>
              <w:pStyle w:val="paragraph"/>
              <w:spacing w:before="0" w:beforeAutospacing="0" w:after="0" w:afterAutospacing="0"/>
              <w:jc w:val="center"/>
              <w:textAlignment w:val="baseline"/>
              <w:rPr>
                <w:rFonts w:asciiTheme="minorHAnsi" w:hAnsiTheme="minorHAnsi" w:cs="Segoe UI"/>
                <w:sz w:val="18"/>
                <w:szCs w:val="18"/>
              </w:rPr>
            </w:pPr>
            <w:hyperlink r:id="rId12" w:history="1">
              <w:r w:rsidR="00325264" w:rsidRPr="00450DAC">
                <w:rPr>
                  <w:rStyle w:val="Lienhypertexte"/>
                  <w:rFonts w:asciiTheme="minorHAnsi" w:eastAsiaTheme="majorEastAsia" w:hAnsiTheme="minorHAnsi" w:cs="Arial"/>
                  <w:b/>
                  <w:bCs/>
                  <w:shd w:val="clear" w:color="auto" w:fill="FFFF00"/>
                </w:rPr>
                <w:t>L’étude complète «</w:t>
              </w:r>
              <w:r w:rsidR="00325264" w:rsidRPr="00450DAC">
                <w:rPr>
                  <w:rStyle w:val="Lienhypertexte"/>
                  <w:rFonts w:ascii="Arial" w:eastAsiaTheme="majorEastAsia" w:hAnsi="Arial" w:cs="Arial"/>
                  <w:b/>
                  <w:bCs/>
                  <w:shd w:val="clear" w:color="auto" w:fill="FFFF00"/>
                </w:rPr>
                <w:t> </w:t>
              </w:r>
              <w:r w:rsidR="00325264" w:rsidRPr="00450DAC">
                <w:rPr>
                  <w:rStyle w:val="Lienhypertexte"/>
                  <w:rFonts w:asciiTheme="minorHAnsi" w:eastAsiaTheme="majorEastAsia" w:hAnsiTheme="minorHAnsi" w:cs="Arial"/>
                  <w:b/>
                  <w:bCs/>
                  <w:shd w:val="clear" w:color="auto" w:fill="FFFF00"/>
                </w:rPr>
                <w:t>Défaillances et sauvegardes d’entreprises – 2</w:t>
              </w:r>
              <w:r w:rsidR="00325264" w:rsidRPr="00450DAC">
                <w:rPr>
                  <w:rStyle w:val="Lienhypertexte"/>
                  <w:rFonts w:asciiTheme="minorHAnsi" w:eastAsiaTheme="majorEastAsia" w:hAnsiTheme="minorHAnsi" w:cs="Arial"/>
                  <w:b/>
                  <w:bCs/>
                  <w:shd w:val="clear" w:color="auto" w:fill="FFFF00"/>
                  <w:vertAlign w:val="superscript"/>
                </w:rPr>
                <w:t>ème</w:t>
              </w:r>
              <w:r w:rsidR="00325264" w:rsidRPr="00450DAC">
                <w:rPr>
                  <w:rStyle w:val="Lienhypertexte"/>
                  <w:rFonts w:asciiTheme="minorHAnsi" w:eastAsiaTheme="majorEastAsia" w:hAnsiTheme="minorHAnsi" w:cs="Arial"/>
                  <w:b/>
                  <w:bCs/>
                  <w:shd w:val="clear" w:color="auto" w:fill="FFFF00"/>
                </w:rPr>
                <w:t xml:space="preserve"> trimestre 2026 » est disponible en ligne en cliquant ici</w:t>
              </w:r>
              <w:r w:rsidR="00325264" w:rsidRPr="00450DAC">
                <w:rPr>
                  <w:rStyle w:val="Lienhypertexte"/>
                  <w:rFonts w:asciiTheme="minorHAnsi" w:eastAsiaTheme="majorEastAsia" w:hAnsiTheme="minorHAnsi" w:cs="Arial"/>
                </w:rPr>
                <w:t> </w:t>
              </w:r>
            </w:hyperlink>
          </w:p>
          <w:p w14:paraId="034C2D47" w14:textId="77777777" w:rsidR="00325264" w:rsidRDefault="00325264" w:rsidP="0032526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C71BF2F" w14:textId="77777777" w:rsidR="00325264" w:rsidRDefault="00325264" w:rsidP="00325264">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w:t>
            </w:r>
          </w:p>
          <w:p w14:paraId="1FA960E5" w14:textId="77777777" w:rsidR="00325264" w:rsidRPr="00BF169D" w:rsidRDefault="00325264" w:rsidP="00325264">
            <w:pPr>
              <w:pStyle w:val="paragraph"/>
              <w:spacing w:before="0" w:beforeAutospacing="0" w:after="0" w:afterAutospacing="0"/>
              <w:jc w:val="both"/>
              <w:textAlignment w:val="baseline"/>
              <w:rPr>
                <w:rFonts w:asciiTheme="minorHAnsi" w:hAnsiTheme="minorHAnsi" w:cs="Segoe UI"/>
                <w:sz w:val="18"/>
                <w:szCs w:val="18"/>
              </w:rPr>
            </w:pPr>
            <w:r w:rsidRPr="00BF169D">
              <w:rPr>
                <w:rStyle w:val="normaltextrun"/>
                <w:rFonts w:asciiTheme="minorHAnsi" w:eastAsiaTheme="majorEastAsia" w:hAnsiTheme="minorHAnsi" w:cs="Arial"/>
                <w:b/>
                <w:bCs/>
                <w:color w:val="FFFFFF"/>
                <w:sz w:val="18"/>
                <w:szCs w:val="18"/>
                <w:shd w:val="clear" w:color="auto" w:fill="42C6C1"/>
              </w:rPr>
              <w:t>Méthodologie |</w:t>
            </w:r>
            <w:r w:rsidRPr="00BF169D">
              <w:rPr>
                <w:rStyle w:val="normaltextrun"/>
                <w:rFonts w:asciiTheme="minorHAnsi" w:eastAsiaTheme="majorEastAsia" w:hAnsiTheme="minorHAnsi" w:cs="Arial"/>
                <w:color w:val="000000"/>
                <w:sz w:val="18"/>
                <w:szCs w:val="18"/>
              </w:rPr>
              <w:t> Les statistiques Altares de défaillances d’entreprises </w:t>
            </w:r>
            <w:proofErr w:type="gramStart"/>
            <w:r w:rsidRPr="00BF169D">
              <w:rPr>
                <w:rStyle w:val="normaltextrun"/>
                <w:rFonts w:asciiTheme="minorHAnsi" w:eastAsiaTheme="majorEastAsia" w:hAnsiTheme="minorHAnsi" w:cs="Arial"/>
                <w:color w:val="000000"/>
                <w:sz w:val="18"/>
                <w:szCs w:val="18"/>
              </w:rPr>
              <w:t>comptabilisent</w:t>
            </w:r>
            <w:proofErr w:type="gramEnd"/>
            <w:r w:rsidRPr="00BF169D">
              <w:rPr>
                <w:rStyle w:val="normaltextrun"/>
                <w:rFonts w:asciiTheme="minorHAnsi" w:eastAsiaTheme="majorEastAsia" w:hAnsiTheme="minorHAnsi" w:cs="Arial"/>
                <w:color w:val="000000"/>
                <w:sz w:val="18"/>
                <w:szCs w:val="18"/>
              </w:rPr>
              <w:t> l’ensemble des entités légales disposant d’un numéro SIREN (entreprises individuelles, professions libérales, sociétés, associations) et ayant fait l’objet d’un jugement d’ouverture de procédure prononcé par un Tribunal de Commerce ou Judiciaire (ex TGI - TI) </w:t>
            </w:r>
            <w:r w:rsidRPr="00BF169D">
              <w:rPr>
                <w:rStyle w:val="eop"/>
                <w:rFonts w:asciiTheme="minorHAnsi" w:eastAsiaTheme="majorEastAsia" w:hAnsiTheme="minorHAnsi" w:cs="Arial"/>
                <w:color w:val="000000"/>
                <w:sz w:val="18"/>
                <w:szCs w:val="18"/>
              </w:rPr>
              <w:t> </w:t>
            </w:r>
          </w:p>
          <w:p w14:paraId="3FF70184" w14:textId="77777777" w:rsidR="00325264" w:rsidRPr="00BF169D" w:rsidRDefault="00325264" w:rsidP="00325264">
            <w:pPr>
              <w:pStyle w:val="paragraph"/>
              <w:spacing w:before="0" w:beforeAutospacing="0" w:after="0" w:afterAutospacing="0"/>
              <w:jc w:val="both"/>
              <w:textAlignment w:val="baseline"/>
              <w:rPr>
                <w:rFonts w:asciiTheme="minorHAnsi" w:hAnsiTheme="minorHAnsi" w:cs="Segoe UI"/>
                <w:sz w:val="18"/>
                <w:szCs w:val="18"/>
              </w:rPr>
            </w:pPr>
            <w:r w:rsidRPr="00BF169D">
              <w:rPr>
                <w:rStyle w:val="eop"/>
                <w:rFonts w:asciiTheme="minorHAnsi" w:eastAsiaTheme="majorEastAsia" w:hAnsiTheme="minorHAnsi" w:cs="Arial"/>
                <w:color w:val="000000"/>
                <w:sz w:val="18"/>
                <w:szCs w:val="18"/>
              </w:rPr>
              <w:t> </w:t>
            </w:r>
          </w:p>
          <w:p w14:paraId="0201F402" w14:textId="77777777" w:rsidR="00325264" w:rsidRPr="00BF169D" w:rsidRDefault="00325264" w:rsidP="00325264">
            <w:pPr>
              <w:pStyle w:val="paragraph"/>
              <w:spacing w:before="0" w:beforeAutospacing="0" w:after="0" w:afterAutospacing="0"/>
              <w:jc w:val="both"/>
              <w:textAlignment w:val="baseline"/>
              <w:rPr>
                <w:rFonts w:asciiTheme="minorHAnsi" w:hAnsiTheme="minorHAnsi" w:cs="Segoe UI"/>
                <w:sz w:val="18"/>
                <w:szCs w:val="18"/>
              </w:rPr>
            </w:pPr>
            <w:r w:rsidRPr="00BF169D">
              <w:rPr>
                <w:rStyle w:val="normaltextrun"/>
                <w:rFonts w:asciiTheme="minorHAnsi" w:eastAsiaTheme="majorEastAsia" w:hAnsiTheme="minorHAnsi" w:cs="Arial"/>
                <w:b/>
                <w:bCs/>
                <w:color w:val="FFFFFF"/>
                <w:sz w:val="18"/>
                <w:szCs w:val="18"/>
                <w:shd w:val="clear" w:color="auto" w:fill="42C6C1"/>
              </w:rPr>
              <w:t>Glossaire |</w:t>
            </w:r>
            <w:r w:rsidRPr="00BF169D">
              <w:rPr>
                <w:rStyle w:val="normaltextrun"/>
                <w:rFonts w:asciiTheme="minorHAnsi" w:eastAsiaTheme="majorEastAsia" w:hAnsiTheme="minorHAnsi" w:cs="Arial"/>
                <w:color w:val="000000"/>
                <w:sz w:val="18"/>
                <w:szCs w:val="18"/>
              </w:rPr>
              <w:t> La défaillance d’entreprise correspond à l’ouverture d’une procédure de sauvegarde, redressement judiciaire ou liquidation judiciaire directe auprès d’un Tribunal de Commerce ou Judiciaire. Cela concerne aussi les ouvertures après résolution du plan de redressement. En revanche, les statistiques de défaillances ne considèrent ni les procédures amiables (mandat </w:t>
            </w:r>
            <w:proofErr w:type="spellStart"/>
            <w:r w:rsidRPr="00BF169D">
              <w:rPr>
                <w:rStyle w:val="normaltextrun"/>
                <w:rFonts w:asciiTheme="minorHAnsi" w:eastAsiaTheme="majorEastAsia" w:hAnsiTheme="minorHAnsi" w:cs="Arial"/>
                <w:color w:val="000000"/>
                <w:sz w:val="18"/>
                <w:szCs w:val="18"/>
              </w:rPr>
              <w:t>adhoc</w:t>
            </w:r>
            <w:proofErr w:type="spellEnd"/>
            <w:r w:rsidRPr="00BF169D">
              <w:rPr>
                <w:rStyle w:val="normaltextrun"/>
                <w:rFonts w:asciiTheme="minorHAnsi" w:eastAsiaTheme="majorEastAsia" w:hAnsiTheme="minorHAnsi" w:cs="Arial"/>
                <w:color w:val="000000"/>
                <w:sz w:val="18"/>
                <w:szCs w:val="18"/>
              </w:rPr>
              <w:t> ou conciliation) ni les suites d’ouverture (arrêt de plan ou conversion en liquidation).</w:t>
            </w:r>
            <w:r w:rsidRPr="00BF169D">
              <w:rPr>
                <w:rStyle w:val="eop"/>
                <w:rFonts w:asciiTheme="minorHAnsi" w:eastAsiaTheme="majorEastAsia" w:hAnsiTheme="minorHAnsi" w:cs="Arial"/>
                <w:color w:val="000000"/>
                <w:sz w:val="18"/>
                <w:szCs w:val="18"/>
              </w:rPr>
              <w:t> </w:t>
            </w:r>
          </w:p>
          <w:p w14:paraId="1FFA960B" w14:textId="77777777" w:rsidR="00325264" w:rsidRPr="00BF169D" w:rsidRDefault="00325264" w:rsidP="00325264">
            <w:pPr>
              <w:pStyle w:val="paragraph"/>
              <w:spacing w:before="0" w:beforeAutospacing="0" w:after="0" w:afterAutospacing="0"/>
              <w:jc w:val="both"/>
              <w:textAlignment w:val="baseline"/>
              <w:rPr>
                <w:rFonts w:asciiTheme="minorHAnsi" w:hAnsiTheme="minorHAnsi" w:cs="Segoe UI"/>
                <w:sz w:val="18"/>
                <w:szCs w:val="18"/>
              </w:rPr>
            </w:pPr>
            <w:r w:rsidRPr="00BF169D">
              <w:rPr>
                <w:rStyle w:val="eop"/>
                <w:rFonts w:asciiTheme="minorHAnsi" w:eastAsiaTheme="majorEastAsia" w:hAnsiTheme="minorHAnsi" w:cs="Arial"/>
                <w:color w:val="000000"/>
                <w:sz w:val="18"/>
                <w:szCs w:val="18"/>
              </w:rPr>
              <w:t> </w:t>
            </w:r>
          </w:p>
          <w:p w14:paraId="6B5AE901" w14:textId="77777777" w:rsidR="00325264" w:rsidRPr="00BF169D" w:rsidRDefault="00325264" w:rsidP="00325264">
            <w:pPr>
              <w:pStyle w:val="paragraph"/>
              <w:spacing w:before="0" w:beforeAutospacing="0" w:after="0" w:afterAutospacing="0"/>
              <w:jc w:val="both"/>
              <w:textAlignment w:val="baseline"/>
              <w:rPr>
                <w:rFonts w:asciiTheme="minorHAnsi" w:hAnsiTheme="minorHAnsi" w:cs="Segoe UI"/>
                <w:sz w:val="18"/>
                <w:szCs w:val="18"/>
              </w:rPr>
            </w:pPr>
            <w:r w:rsidRPr="00BF169D">
              <w:rPr>
                <w:rStyle w:val="normaltextrun"/>
                <w:rFonts w:asciiTheme="minorHAnsi" w:eastAsiaTheme="majorEastAsia" w:hAnsiTheme="minorHAnsi" w:cs="Arial"/>
                <w:b/>
                <w:bCs/>
                <w:color w:val="FFFFFF"/>
                <w:sz w:val="18"/>
                <w:szCs w:val="18"/>
                <w:shd w:val="clear" w:color="auto" w:fill="42C6C1"/>
              </w:rPr>
              <w:t>À propos d’Altares |</w:t>
            </w:r>
            <w:r w:rsidRPr="00BF169D">
              <w:rPr>
                <w:rStyle w:val="normaltextrun"/>
                <w:rFonts w:asciiTheme="minorHAnsi" w:eastAsiaTheme="majorEastAsia" w:hAnsiTheme="minorHAnsi" w:cs="Arial"/>
                <w:color w:val="000000"/>
                <w:sz w:val="18"/>
                <w:szCs w:val="18"/>
              </w:rPr>
              <w:t> </w:t>
            </w:r>
            <w:hyperlink r:id="rId13" w:tgtFrame="_blank" w:history="1">
              <w:r w:rsidRPr="00BF169D">
                <w:rPr>
                  <w:rStyle w:val="normaltextrun"/>
                  <w:rFonts w:asciiTheme="minorHAnsi" w:eastAsiaTheme="majorEastAsia" w:hAnsiTheme="minorHAnsi" w:cs="Arial"/>
                  <w:color w:val="000000"/>
                  <w:sz w:val="18"/>
                  <w:szCs w:val="18"/>
                </w:rPr>
                <w:t>www.altares.com</w:t>
              </w:r>
            </w:hyperlink>
            <w:r w:rsidRPr="00BF169D">
              <w:rPr>
                <w:rStyle w:val="normaltextrun"/>
                <w:rFonts w:asciiTheme="minorHAnsi" w:eastAsiaTheme="majorEastAsia" w:hAnsiTheme="minorHAnsi" w:cs="Arial"/>
                <w:color w:val="000000"/>
                <w:sz w:val="18"/>
                <w:szCs w:val="18"/>
              </w:rPr>
              <w:t> </w:t>
            </w:r>
            <w:r w:rsidRPr="00BF169D">
              <w:rPr>
                <w:rStyle w:val="eop"/>
                <w:rFonts w:asciiTheme="minorHAnsi" w:eastAsiaTheme="majorEastAsia" w:hAnsiTheme="minorHAnsi" w:cs="Arial"/>
                <w:color w:val="000000"/>
                <w:sz w:val="18"/>
                <w:szCs w:val="18"/>
              </w:rPr>
              <w:t> </w:t>
            </w:r>
          </w:p>
          <w:p w14:paraId="19A9C75F" w14:textId="77777777" w:rsidR="00325264" w:rsidRPr="00BF169D" w:rsidRDefault="00325264" w:rsidP="00325264">
            <w:pPr>
              <w:pStyle w:val="paragraph"/>
              <w:spacing w:before="0" w:beforeAutospacing="0" w:after="0" w:afterAutospacing="0"/>
              <w:jc w:val="both"/>
              <w:textAlignment w:val="baseline"/>
              <w:rPr>
                <w:rFonts w:asciiTheme="minorHAnsi" w:hAnsiTheme="minorHAnsi" w:cs="Segoe UI"/>
                <w:sz w:val="18"/>
                <w:szCs w:val="18"/>
              </w:rPr>
            </w:pPr>
            <w:r w:rsidRPr="00BF169D">
              <w:rPr>
                <w:rStyle w:val="normaltextrun"/>
                <w:rFonts w:asciiTheme="minorHAnsi" w:eastAsiaTheme="majorEastAsia" w:hAnsiTheme="minorHAnsi" w:cs="Arial"/>
                <w:color w:val="000000"/>
                <w:sz w:val="18"/>
                <w:szCs w:val="18"/>
              </w:rPr>
              <w:t>Altares est l’expert de la donnée d’entreprise, créateur de solutions de pilotage et d’indicateurs de la santé économique et extra-financière des entreprises et des organismes publics, au sein de leur écosystème.</w:t>
            </w:r>
            <w:r w:rsidRPr="00BF169D">
              <w:rPr>
                <w:rStyle w:val="eop"/>
                <w:rFonts w:asciiTheme="minorHAnsi" w:eastAsiaTheme="majorEastAsia" w:hAnsiTheme="minorHAnsi" w:cs="Arial"/>
                <w:color w:val="000000"/>
                <w:sz w:val="18"/>
                <w:szCs w:val="18"/>
              </w:rPr>
              <w:t> </w:t>
            </w:r>
          </w:p>
          <w:p w14:paraId="215252AB" w14:textId="77777777" w:rsidR="00325264" w:rsidRPr="00BF169D" w:rsidRDefault="00325264" w:rsidP="00325264">
            <w:pPr>
              <w:pStyle w:val="paragraph"/>
              <w:spacing w:before="0" w:beforeAutospacing="0" w:after="0" w:afterAutospacing="0"/>
              <w:jc w:val="both"/>
              <w:textAlignment w:val="baseline"/>
              <w:rPr>
                <w:rFonts w:asciiTheme="minorHAnsi" w:hAnsiTheme="minorHAnsi" w:cs="Segoe UI"/>
                <w:sz w:val="18"/>
                <w:szCs w:val="18"/>
              </w:rPr>
            </w:pPr>
            <w:r w:rsidRPr="00BF169D">
              <w:rPr>
                <w:rStyle w:val="normaltextrun"/>
                <w:rFonts w:asciiTheme="minorHAnsi" w:eastAsiaTheme="majorEastAsia" w:hAnsiTheme="minorHAnsi" w:cs="Arial"/>
                <w:color w:val="000000"/>
                <w:sz w:val="18"/>
                <w:szCs w:val="18"/>
              </w:rPr>
              <w:t>Grâce à ses outils et ses informations, Altares aide les responsables des structures privées et publiques, de toute taille et de tout secteur d’activité, à prendre sereinement des décisions éclairées.</w:t>
            </w:r>
            <w:r w:rsidRPr="00BF169D">
              <w:rPr>
                <w:rStyle w:val="eop"/>
                <w:rFonts w:asciiTheme="minorHAnsi" w:eastAsiaTheme="majorEastAsia" w:hAnsiTheme="minorHAnsi" w:cs="Arial"/>
                <w:color w:val="000000"/>
                <w:sz w:val="18"/>
                <w:szCs w:val="18"/>
              </w:rPr>
              <w:t> </w:t>
            </w:r>
          </w:p>
          <w:p w14:paraId="6E3A24B6" w14:textId="77777777" w:rsidR="00325264" w:rsidRPr="00BF169D" w:rsidRDefault="00325264" w:rsidP="00325264">
            <w:pPr>
              <w:pStyle w:val="paragraph"/>
              <w:spacing w:before="0" w:beforeAutospacing="0" w:after="0" w:afterAutospacing="0"/>
              <w:jc w:val="both"/>
              <w:textAlignment w:val="baseline"/>
              <w:rPr>
                <w:rFonts w:asciiTheme="minorHAnsi" w:hAnsiTheme="minorHAnsi" w:cs="Segoe UI"/>
                <w:sz w:val="18"/>
                <w:szCs w:val="18"/>
              </w:rPr>
            </w:pPr>
            <w:r w:rsidRPr="00BF169D">
              <w:rPr>
                <w:rStyle w:val="normaltextrun"/>
                <w:rFonts w:asciiTheme="minorHAnsi" w:eastAsiaTheme="majorEastAsia" w:hAnsiTheme="minorHAnsi" w:cs="Arial"/>
                <w:color w:val="000000"/>
                <w:sz w:val="18"/>
                <w:szCs w:val="18"/>
              </w:rPr>
              <w:t xml:space="preserve">Partenaire exclusif en France, au Benelux et au Maghreb de Dun &amp; Bradstreet, 1er réseau international d’informations sur les entreprises, Altares s’appuie sur une base de données mondiale de plus de </w:t>
            </w:r>
            <w:r>
              <w:rPr>
                <w:rStyle w:val="normaltextrun"/>
                <w:rFonts w:asciiTheme="minorHAnsi" w:eastAsiaTheme="majorEastAsia" w:hAnsiTheme="minorHAnsi" w:cs="Arial"/>
                <w:color w:val="000000"/>
                <w:sz w:val="18"/>
                <w:szCs w:val="18"/>
              </w:rPr>
              <w:t>60</w:t>
            </w:r>
            <w:r w:rsidRPr="00BF169D">
              <w:rPr>
                <w:rStyle w:val="normaltextrun"/>
                <w:rFonts w:asciiTheme="minorHAnsi" w:eastAsiaTheme="majorEastAsia" w:hAnsiTheme="minorHAnsi" w:cs="Arial"/>
                <w:color w:val="000000"/>
                <w:sz w:val="18"/>
                <w:szCs w:val="18"/>
              </w:rPr>
              <w:t>0 millions d’entités légales (dont 11 millions en France) pour aider les acteurs économiques à se développer durablement, en intégrant, entre autres, les enjeux essentiels de conformité et de RSE.</w:t>
            </w:r>
            <w:r w:rsidRPr="00BF169D">
              <w:rPr>
                <w:rStyle w:val="eop"/>
                <w:rFonts w:asciiTheme="minorHAnsi" w:eastAsiaTheme="majorEastAsia" w:hAnsiTheme="minorHAnsi" w:cs="Arial"/>
                <w:color w:val="000000"/>
                <w:sz w:val="18"/>
                <w:szCs w:val="18"/>
              </w:rPr>
              <w:t> </w:t>
            </w:r>
          </w:p>
          <w:p w14:paraId="479F5BF8" w14:textId="77777777" w:rsidR="00325264" w:rsidRPr="00BF169D" w:rsidRDefault="00325264" w:rsidP="00325264">
            <w:pPr>
              <w:pStyle w:val="paragraph"/>
              <w:spacing w:before="0" w:beforeAutospacing="0" w:after="0" w:afterAutospacing="0"/>
              <w:jc w:val="both"/>
              <w:textAlignment w:val="baseline"/>
              <w:rPr>
                <w:rFonts w:asciiTheme="minorHAnsi" w:hAnsiTheme="minorHAnsi" w:cs="Segoe UI"/>
                <w:sz w:val="18"/>
                <w:szCs w:val="18"/>
              </w:rPr>
            </w:pPr>
            <w:r w:rsidRPr="00BF169D">
              <w:rPr>
                <w:rStyle w:val="eop"/>
                <w:rFonts w:asciiTheme="minorHAnsi" w:eastAsiaTheme="majorEastAsia" w:hAnsiTheme="minorHAnsi" w:cs="Arial"/>
                <w:color w:val="000000"/>
                <w:sz w:val="18"/>
                <w:szCs w:val="18"/>
              </w:rPr>
              <w:t> </w:t>
            </w:r>
          </w:p>
          <w:p w14:paraId="47980AB1" w14:textId="77777777" w:rsidR="00325264" w:rsidRPr="00BF169D" w:rsidRDefault="00325264" w:rsidP="00325264">
            <w:pPr>
              <w:pStyle w:val="paragraph"/>
              <w:spacing w:before="0" w:beforeAutospacing="0" w:after="0" w:afterAutospacing="0"/>
              <w:jc w:val="both"/>
              <w:textAlignment w:val="baseline"/>
              <w:rPr>
                <w:rFonts w:asciiTheme="minorHAnsi" w:hAnsiTheme="minorHAnsi" w:cs="Segoe UI"/>
                <w:sz w:val="18"/>
                <w:szCs w:val="18"/>
              </w:rPr>
            </w:pPr>
            <w:r w:rsidRPr="00BF169D">
              <w:rPr>
                <w:rStyle w:val="normaltextrun"/>
                <w:rFonts w:asciiTheme="minorHAnsi" w:eastAsiaTheme="majorEastAsia" w:hAnsiTheme="minorHAnsi" w:cs="Arial"/>
                <w:b/>
                <w:bCs/>
                <w:color w:val="FFFFFF"/>
                <w:sz w:val="18"/>
                <w:szCs w:val="18"/>
                <w:shd w:val="clear" w:color="auto" w:fill="42C6C1"/>
              </w:rPr>
              <w:t>Contacts presse | </w:t>
            </w:r>
            <w:r w:rsidRPr="00BF169D">
              <w:rPr>
                <w:rStyle w:val="normaltextrun"/>
                <w:rFonts w:asciiTheme="minorHAnsi" w:eastAsiaTheme="majorEastAsia" w:hAnsiTheme="minorHAnsi" w:cs="Arial"/>
                <w:color w:val="000000"/>
                <w:sz w:val="18"/>
                <w:szCs w:val="18"/>
              </w:rPr>
              <w:t>Agence </w:t>
            </w:r>
            <w:proofErr w:type="spellStart"/>
            <w:r w:rsidRPr="00BF169D">
              <w:rPr>
                <w:rStyle w:val="normaltextrun"/>
                <w:rFonts w:asciiTheme="minorHAnsi" w:eastAsiaTheme="majorEastAsia" w:hAnsiTheme="minorHAnsi" w:cs="Arial"/>
                <w:color w:val="000000"/>
                <w:sz w:val="18"/>
                <w:szCs w:val="18"/>
              </w:rPr>
              <w:t>CorioLink</w:t>
            </w:r>
            <w:proofErr w:type="spellEnd"/>
            <w:r w:rsidRPr="00BF169D">
              <w:rPr>
                <w:rStyle w:val="eop"/>
                <w:rFonts w:asciiTheme="minorHAnsi" w:eastAsiaTheme="majorEastAsia" w:hAnsiTheme="minorHAnsi" w:cs="Arial"/>
                <w:color w:val="000000"/>
                <w:sz w:val="18"/>
                <w:szCs w:val="18"/>
              </w:rPr>
              <w:t> </w:t>
            </w:r>
          </w:p>
          <w:p w14:paraId="3B455D8E" w14:textId="77777777" w:rsidR="00325264" w:rsidRPr="00BF169D" w:rsidRDefault="00325264" w:rsidP="00325264">
            <w:pPr>
              <w:pStyle w:val="paragraph"/>
              <w:spacing w:before="0" w:beforeAutospacing="0" w:after="0" w:afterAutospacing="0"/>
              <w:jc w:val="both"/>
              <w:textAlignment w:val="baseline"/>
              <w:rPr>
                <w:rFonts w:asciiTheme="minorHAnsi" w:hAnsiTheme="minorHAnsi" w:cs="Segoe UI"/>
                <w:sz w:val="18"/>
                <w:szCs w:val="18"/>
              </w:rPr>
            </w:pPr>
            <w:r w:rsidRPr="00BF169D">
              <w:rPr>
                <w:rStyle w:val="normaltextrun"/>
                <w:rFonts w:asciiTheme="minorHAnsi" w:eastAsiaTheme="majorEastAsia" w:hAnsiTheme="minorHAnsi" w:cs="Arial"/>
                <w:color w:val="000000"/>
                <w:sz w:val="18"/>
                <w:szCs w:val="18"/>
              </w:rPr>
              <w:t>Urielle Dutartre – 06 62 82 71 62 –</w:t>
            </w:r>
            <w:r w:rsidRPr="00BF169D">
              <w:rPr>
                <w:rStyle w:val="normaltextrun"/>
                <w:rFonts w:asciiTheme="minorHAnsi" w:eastAsiaTheme="majorEastAsia" w:hAnsiTheme="minorHAnsi" w:cs="Arial"/>
                <w:color w:val="4D4D4D"/>
                <w:sz w:val="18"/>
                <w:szCs w:val="18"/>
              </w:rPr>
              <w:t> </w:t>
            </w:r>
            <w:hyperlink r:id="rId14" w:tgtFrame="_blank" w:history="1">
              <w:r w:rsidRPr="00BF169D">
                <w:rPr>
                  <w:rStyle w:val="normaltextrun"/>
                  <w:rFonts w:asciiTheme="minorHAnsi" w:eastAsiaTheme="majorEastAsia" w:hAnsiTheme="minorHAnsi" w:cs="Arial"/>
                  <w:color w:val="467886"/>
                  <w:sz w:val="18"/>
                  <w:szCs w:val="18"/>
                  <w:u w:val="single"/>
                </w:rPr>
                <w:t>urielle.dutartre@coriolink.com</w:t>
              </w:r>
            </w:hyperlink>
            <w:r w:rsidRPr="00BF169D">
              <w:rPr>
                <w:rStyle w:val="normaltextrun"/>
                <w:rFonts w:asciiTheme="minorHAnsi" w:eastAsiaTheme="majorEastAsia" w:hAnsiTheme="minorHAnsi" w:cs="Arial"/>
                <w:color w:val="4D4D4D"/>
                <w:sz w:val="18"/>
                <w:szCs w:val="18"/>
              </w:rPr>
              <w:t> </w:t>
            </w:r>
            <w:r w:rsidRPr="00BF169D">
              <w:rPr>
                <w:rStyle w:val="eop"/>
                <w:rFonts w:asciiTheme="minorHAnsi" w:eastAsiaTheme="majorEastAsia" w:hAnsiTheme="minorHAnsi" w:cs="Arial"/>
                <w:color w:val="4D4D4D"/>
                <w:sz w:val="18"/>
                <w:szCs w:val="18"/>
              </w:rPr>
              <w:t> </w:t>
            </w:r>
          </w:p>
          <w:p w14:paraId="136E75B6" w14:textId="77777777" w:rsidR="00325264" w:rsidRPr="00260823" w:rsidRDefault="00325264" w:rsidP="00EF68A3">
            <w:pPr>
              <w:spacing w:line="240" w:lineRule="auto"/>
              <w:rPr>
                <w:rFonts w:ascii="Aptos" w:hAnsi="Aptos" w:cs="Arial"/>
                <w:sz w:val="22"/>
                <w:szCs w:val="22"/>
              </w:rPr>
            </w:pPr>
          </w:p>
          <w:p w14:paraId="5311F1E5" w14:textId="4F2593AE" w:rsidR="00AC07DC" w:rsidRPr="00260823" w:rsidRDefault="00AC07DC" w:rsidP="00D964CB">
            <w:pPr>
              <w:spacing w:line="240" w:lineRule="auto"/>
              <w:rPr>
                <w:rFonts w:ascii="Aptos" w:hAnsi="Aptos" w:cs="Arial"/>
                <w:b/>
                <w:bCs/>
                <w:sz w:val="22"/>
                <w:szCs w:val="22"/>
              </w:rPr>
            </w:pPr>
          </w:p>
        </w:tc>
      </w:tr>
    </w:tbl>
    <w:p w14:paraId="4BAA00F2" w14:textId="4E0B9889" w:rsidR="00E54725" w:rsidRPr="00260823" w:rsidRDefault="00E54725">
      <w:pPr>
        <w:rPr>
          <w:rFonts w:ascii="Aptos" w:hAnsi="Aptos"/>
        </w:rPr>
      </w:pPr>
    </w:p>
    <w:p w14:paraId="36B36795" w14:textId="38BF6DB0" w:rsidR="00E54725" w:rsidRPr="00260823" w:rsidRDefault="00E54725" w:rsidP="00E54725">
      <w:pPr>
        <w:rPr>
          <w:rFonts w:ascii="Aptos" w:hAnsi="Aptos"/>
        </w:rPr>
      </w:pPr>
    </w:p>
    <w:p w14:paraId="70F9CFA2" w14:textId="77777777" w:rsidR="00E54725" w:rsidRPr="00260823" w:rsidRDefault="00E54725" w:rsidP="00E54725">
      <w:pPr>
        <w:jc w:val="both"/>
        <w:rPr>
          <w:rFonts w:ascii="Aptos" w:hAnsi="Aptos" w:cs="Arial"/>
        </w:rPr>
      </w:pPr>
    </w:p>
    <w:sectPr w:rsidR="00E54725" w:rsidRPr="00260823" w:rsidSect="00447E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C21"/>
    <w:multiLevelType w:val="hybridMultilevel"/>
    <w:tmpl w:val="387422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215E4"/>
    <w:multiLevelType w:val="hybridMultilevel"/>
    <w:tmpl w:val="F0B88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CB7A8F"/>
    <w:multiLevelType w:val="hybridMultilevel"/>
    <w:tmpl w:val="A20C4C0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E0916CE"/>
    <w:multiLevelType w:val="hybridMultilevel"/>
    <w:tmpl w:val="31D63E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E311C5B"/>
    <w:multiLevelType w:val="hybridMultilevel"/>
    <w:tmpl w:val="A1908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C44E2A"/>
    <w:multiLevelType w:val="hybridMultilevel"/>
    <w:tmpl w:val="38B84B1A"/>
    <w:lvl w:ilvl="0" w:tplc="04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53D78F8"/>
    <w:multiLevelType w:val="multilevel"/>
    <w:tmpl w:val="8710F77A"/>
    <w:lvl w:ilvl="0">
      <w:start w:val="1"/>
      <w:numFmt w:val="decimal"/>
      <w:lvlText w:val="(%1)"/>
      <w:lvlJc w:val="left"/>
      <w:pPr>
        <w:tabs>
          <w:tab w:val="num" w:pos="360"/>
        </w:tabs>
        <w:ind w:left="360" w:hanging="360"/>
      </w:pPr>
      <w:rPr>
        <w:rFonts w:ascii="Aptos" w:eastAsiaTheme="minorHAnsi" w:hAnsi="Aptos" w:cs="Arial"/>
      </w:rPr>
    </w:lvl>
    <w:lvl w:ilvl="1">
      <w:start w:val="2"/>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65908131">
    <w:abstractNumId w:val="0"/>
  </w:num>
  <w:num w:numId="2" w16cid:durableId="1353654580">
    <w:abstractNumId w:val="2"/>
  </w:num>
  <w:num w:numId="3" w16cid:durableId="1451775676">
    <w:abstractNumId w:val="6"/>
  </w:num>
  <w:num w:numId="4" w16cid:durableId="1510098838">
    <w:abstractNumId w:val="5"/>
  </w:num>
  <w:num w:numId="5" w16cid:durableId="1907298162">
    <w:abstractNumId w:val="3"/>
  </w:num>
  <w:num w:numId="6" w16cid:durableId="331102302">
    <w:abstractNumId w:val="4"/>
  </w:num>
  <w:num w:numId="7" w16cid:durableId="77680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25"/>
    <w:rsid w:val="00000BBB"/>
    <w:rsid w:val="000012A2"/>
    <w:rsid w:val="000025BF"/>
    <w:rsid w:val="0000271F"/>
    <w:rsid w:val="00003D09"/>
    <w:rsid w:val="00004C15"/>
    <w:rsid w:val="00005956"/>
    <w:rsid w:val="000062F6"/>
    <w:rsid w:val="00007D3E"/>
    <w:rsid w:val="00007F86"/>
    <w:rsid w:val="00012EC4"/>
    <w:rsid w:val="0001302B"/>
    <w:rsid w:val="00017296"/>
    <w:rsid w:val="00021FE2"/>
    <w:rsid w:val="000336F2"/>
    <w:rsid w:val="000422F0"/>
    <w:rsid w:val="0004718A"/>
    <w:rsid w:val="00050921"/>
    <w:rsid w:val="00054915"/>
    <w:rsid w:val="00055FD1"/>
    <w:rsid w:val="00066016"/>
    <w:rsid w:val="0006741B"/>
    <w:rsid w:val="00075011"/>
    <w:rsid w:val="000751FE"/>
    <w:rsid w:val="00077A76"/>
    <w:rsid w:val="0008078E"/>
    <w:rsid w:val="00080BD9"/>
    <w:rsid w:val="000811C4"/>
    <w:rsid w:val="0008410A"/>
    <w:rsid w:val="0008477C"/>
    <w:rsid w:val="000A0C79"/>
    <w:rsid w:val="000A13DD"/>
    <w:rsid w:val="000B201A"/>
    <w:rsid w:val="000B2C82"/>
    <w:rsid w:val="000B4E4A"/>
    <w:rsid w:val="000B7BAC"/>
    <w:rsid w:val="000C737C"/>
    <w:rsid w:val="000D0B36"/>
    <w:rsid w:val="000D1ABA"/>
    <w:rsid w:val="000D59D0"/>
    <w:rsid w:val="000F549F"/>
    <w:rsid w:val="000F6B8D"/>
    <w:rsid w:val="00101811"/>
    <w:rsid w:val="001025F8"/>
    <w:rsid w:val="0010705D"/>
    <w:rsid w:val="00115C0E"/>
    <w:rsid w:val="001162AF"/>
    <w:rsid w:val="001236F1"/>
    <w:rsid w:val="00124AD0"/>
    <w:rsid w:val="00132348"/>
    <w:rsid w:val="001366F8"/>
    <w:rsid w:val="00140175"/>
    <w:rsid w:val="00141550"/>
    <w:rsid w:val="0015383F"/>
    <w:rsid w:val="0015457C"/>
    <w:rsid w:val="00161898"/>
    <w:rsid w:val="001621BE"/>
    <w:rsid w:val="00164135"/>
    <w:rsid w:val="001727AD"/>
    <w:rsid w:val="00182AFE"/>
    <w:rsid w:val="00182E41"/>
    <w:rsid w:val="001843A7"/>
    <w:rsid w:val="00185C32"/>
    <w:rsid w:val="00190E6D"/>
    <w:rsid w:val="00193B12"/>
    <w:rsid w:val="0019751B"/>
    <w:rsid w:val="001A075F"/>
    <w:rsid w:val="001A4A99"/>
    <w:rsid w:val="001B2C8A"/>
    <w:rsid w:val="001B3C5D"/>
    <w:rsid w:val="001B49DB"/>
    <w:rsid w:val="001B5580"/>
    <w:rsid w:val="001B6A58"/>
    <w:rsid w:val="001C5F5F"/>
    <w:rsid w:val="001C68DD"/>
    <w:rsid w:val="001D30F5"/>
    <w:rsid w:val="001D33BE"/>
    <w:rsid w:val="001D53DE"/>
    <w:rsid w:val="001E0261"/>
    <w:rsid w:val="001E5E72"/>
    <w:rsid w:val="001E737C"/>
    <w:rsid w:val="001F32A4"/>
    <w:rsid w:val="001F44EE"/>
    <w:rsid w:val="00212593"/>
    <w:rsid w:val="00223C0C"/>
    <w:rsid w:val="00225871"/>
    <w:rsid w:val="00233C8A"/>
    <w:rsid w:val="0024100D"/>
    <w:rsid w:val="00241445"/>
    <w:rsid w:val="00246826"/>
    <w:rsid w:val="0025652D"/>
    <w:rsid w:val="00260823"/>
    <w:rsid w:val="0029344B"/>
    <w:rsid w:val="00294B95"/>
    <w:rsid w:val="00295782"/>
    <w:rsid w:val="002957A8"/>
    <w:rsid w:val="00295E8C"/>
    <w:rsid w:val="002A2D4A"/>
    <w:rsid w:val="002B4F99"/>
    <w:rsid w:val="002B649E"/>
    <w:rsid w:val="002B64FF"/>
    <w:rsid w:val="002B66FE"/>
    <w:rsid w:val="002B6B28"/>
    <w:rsid w:val="002C2562"/>
    <w:rsid w:val="002C72BD"/>
    <w:rsid w:val="002D59B2"/>
    <w:rsid w:val="002D5F5C"/>
    <w:rsid w:val="002D6741"/>
    <w:rsid w:val="002F34C2"/>
    <w:rsid w:val="002F48DA"/>
    <w:rsid w:val="002F54F1"/>
    <w:rsid w:val="002F6992"/>
    <w:rsid w:val="003050FD"/>
    <w:rsid w:val="00305522"/>
    <w:rsid w:val="00306086"/>
    <w:rsid w:val="003123BC"/>
    <w:rsid w:val="00313A2B"/>
    <w:rsid w:val="003146B5"/>
    <w:rsid w:val="003226F7"/>
    <w:rsid w:val="00325264"/>
    <w:rsid w:val="0032533C"/>
    <w:rsid w:val="00326471"/>
    <w:rsid w:val="00334ABC"/>
    <w:rsid w:val="00335B2E"/>
    <w:rsid w:val="0033688B"/>
    <w:rsid w:val="00342CD7"/>
    <w:rsid w:val="00351F16"/>
    <w:rsid w:val="003552F2"/>
    <w:rsid w:val="00355805"/>
    <w:rsid w:val="00360F0F"/>
    <w:rsid w:val="00363958"/>
    <w:rsid w:val="00366EC8"/>
    <w:rsid w:val="00374CD9"/>
    <w:rsid w:val="003823A5"/>
    <w:rsid w:val="0038457A"/>
    <w:rsid w:val="00384E05"/>
    <w:rsid w:val="00387BAD"/>
    <w:rsid w:val="003918EA"/>
    <w:rsid w:val="0039233D"/>
    <w:rsid w:val="00393E7E"/>
    <w:rsid w:val="00395252"/>
    <w:rsid w:val="003A6ADD"/>
    <w:rsid w:val="003A7DBB"/>
    <w:rsid w:val="003B4C53"/>
    <w:rsid w:val="003B6A19"/>
    <w:rsid w:val="003C05D9"/>
    <w:rsid w:val="003C09D1"/>
    <w:rsid w:val="003C0A96"/>
    <w:rsid w:val="003C1269"/>
    <w:rsid w:val="003C3CA8"/>
    <w:rsid w:val="003C4897"/>
    <w:rsid w:val="003D1058"/>
    <w:rsid w:val="003D13DB"/>
    <w:rsid w:val="003D3A96"/>
    <w:rsid w:val="003D6818"/>
    <w:rsid w:val="003D6A16"/>
    <w:rsid w:val="003E5AD0"/>
    <w:rsid w:val="00401272"/>
    <w:rsid w:val="00401C99"/>
    <w:rsid w:val="0040425F"/>
    <w:rsid w:val="0041167C"/>
    <w:rsid w:val="00420D86"/>
    <w:rsid w:val="00422EA0"/>
    <w:rsid w:val="004237B8"/>
    <w:rsid w:val="00431963"/>
    <w:rsid w:val="004322FF"/>
    <w:rsid w:val="00433279"/>
    <w:rsid w:val="00436B76"/>
    <w:rsid w:val="00443FC2"/>
    <w:rsid w:val="00446338"/>
    <w:rsid w:val="00447636"/>
    <w:rsid w:val="00447EC9"/>
    <w:rsid w:val="00450DAC"/>
    <w:rsid w:val="00455B30"/>
    <w:rsid w:val="00462B81"/>
    <w:rsid w:val="004670BD"/>
    <w:rsid w:val="00471EB6"/>
    <w:rsid w:val="004758A1"/>
    <w:rsid w:val="00475BCD"/>
    <w:rsid w:val="004871DE"/>
    <w:rsid w:val="00487798"/>
    <w:rsid w:val="00490259"/>
    <w:rsid w:val="0049486C"/>
    <w:rsid w:val="00495663"/>
    <w:rsid w:val="004A6A69"/>
    <w:rsid w:val="004C1714"/>
    <w:rsid w:val="004D2C1B"/>
    <w:rsid w:val="004D3BF8"/>
    <w:rsid w:val="004D5B9E"/>
    <w:rsid w:val="004D5F25"/>
    <w:rsid w:val="004E37E7"/>
    <w:rsid w:val="004E4D8A"/>
    <w:rsid w:val="004E6602"/>
    <w:rsid w:val="004E7A56"/>
    <w:rsid w:val="004F385B"/>
    <w:rsid w:val="00501599"/>
    <w:rsid w:val="0050323A"/>
    <w:rsid w:val="00512F22"/>
    <w:rsid w:val="005146B1"/>
    <w:rsid w:val="00521A6D"/>
    <w:rsid w:val="005244D8"/>
    <w:rsid w:val="005257F3"/>
    <w:rsid w:val="00531DA8"/>
    <w:rsid w:val="005324FA"/>
    <w:rsid w:val="0053562C"/>
    <w:rsid w:val="00536A5E"/>
    <w:rsid w:val="0054297B"/>
    <w:rsid w:val="005443C1"/>
    <w:rsid w:val="0054491C"/>
    <w:rsid w:val="00546972"/>
    <w:rsid w:val="0055003B"/>
    <w:rsid w:val="00551086"/>
    <w:rsid w:val="00552894"/>
    <w:rsid w:val="00553E41"/>
    <w:rsid w:val="005551D8"/>
    <w:rsid w:val="00560866"/>
    <w:rsid w:val="005674E9"/>
    <w:rsid w:val="00590318"/>
    <w:rsid w:val="00592701"/>
    <w:rsid w:val="005954A3"/>
    <w:rsid w:val="00596A7A"/>
    <w:rsid w:val="005A00BE"/>
    <w:rsid w:val="005A27AC"/>
    <w:rsid w:val="005A36EF"/>
    <w:rsid w:val="005B202F"/>
    <w:rsid w:val="005B4F2D"/>
    <w:rsid w:val="005B514B"/>
    <w:rsid w:val="005B5248"/>
    <w:rsid w:val="005C4FAE"/>
    <w:rsid w:val="005C680A"/>
    <w:rsid w:val="005D457B"/>
    <w:rsid w:val="005D4DF6"/>
    <w:rsid w:val="005D50B2"/>
    <w:rsid w:val="005D6D22"/>
    <w:rsid w:val="005D6E4A"/>
    <w:rsid w:val="005E033D"/>
    <w:rsid w:val="005E15F9"/>
    <w:rsid w:val="005E1AD1"/>
    <w:rsid w:val="005E2AD1"/>
    <w:rsid w:val="005E2FC6"/>
    <w:rsid w:val="005F01CE"/>
    <w:rsid w:val="005F4B8F"/>
    <w:rsid w:val="005F59A0"/>
    <w:rsid w:val="005F69FA"/>
    <w:rsid w:val="006012CE"/>
    <w:rsid w:val="00602784"/>
    <w:rsid w:val="00606784"/>
    <w:rsid w:val="00606B3D"/>
    <w:rsid w:val="00607667"/>
    <w:rsid w:val="00611398"/>
    <w:rsid w:val="00616220"/>
    <w:rsid w:val="006165EF"/>
    <w:rsid w:val="00621539"/>
    <w:rsid w:val="00621F34"/>
    <w:rsid w:val="00624BFA"/>
    <w:rsid w:val="00624DA9"/>
    <w:rsid w:val="00624F7B"/>
    <w:rsid w:val="0062640A"/>
    <w:rsid w:val="006305A4"/>
    <w:rsid w:val="00631D4A"/>
    <w:rsid w:val="00653E07"/>
    <w:rsid w:val="00657A36"/>
    <w:rsid w:val="006629DD"/>
    <w:rsid w:val="0066459D"/>
    <w:rsid w:val="006675F8"/>
    <w:rsid w:val="00667F0C"/>
    <w:rsid w:val="006755E7"/>
    <w:rsid w:val="00675BC2"/>
    <w:rsid w:val="0067760C"/>
    <w:rsid w:val="0068262C"/>
    <w:rsid w:val="0068451E"/>
    <w:rsid w:val="00684539"/>
    <w:rsid w:val="0068774F"/>
    <w:rsid w:val="006922F1"/>
    <w:rsid w:val="00696633"/>
    <w:rsid w:val="006A17F5"/>
    <w:rsid w:val="006A2A04"/>
    <w:rsid w:val="006A5072"/>
    <w:rsid w:val="006B10B6"/>
    <w:rsid w:val="006B1A11"/>
    <w:rsid w:val="006B45AE"/>
    <w:rsid w:val="006C03B4"/>
    <w:rsid w:val="006C60D9"/>
    <w:rsid w:val="006D7BB3"/>
    <w:rsid w:val="006E4458"/>
    <w:rsid w:val="006E55CD"/>
    <w:rsid w:val="006F0F8A"/>
    <w:rsid w:val="006F63CC"/>
    <w:rsid w:val="006F75CC"/>
    <w:rsid w:val="0070003A"/>
    <w:rsid w:val="007009B5"/>
    <w:rsid w:val="0070155E"/>
    <w:rsid w:val="0070620E"/>
    <w:rsid w:val="007072D6"/>
    <w:rsid w:val="00711BFA"/>
    <w:rsid w:val="0071220F"/>
    <w:rsid w:val="00724499"/>
    <w:rsid w:val="00726CAE"/>
    <w:rsid w:val="00734B88"/>
    <w:rsid w:val="00750034"/>
    <w:rsid w:val="00754D0C"/>
    <w:rsid w:val="0076123A"/>
    <w:rsid w:val="007628D9"/>
    <w:rsid w:val="007632A1"/>
    <w:rsid w:val="00766D2C"/>
    <w:rsid w:val="0077225A"/>
    <w:rsid w:val="00773EEB"/>
    <w:rsid w:val="00775DA4"/>
    <w:rsid w:val="007775B3"/>
    <w:rsid w:val="00783C53"/>
    <w:rsid w:val="00784D9F"/>
    <w:rsid w:val="00785441"/>
    <w:rsid w:val="00785A0B"/>
    <w:rsid w:val="0079239A"/>
    <w:rsid w:val="007A4FCE"/>
    <w:rsid w:val="007A4FE4"/>
    <w:rsid w:val="007A5D3D"/>
    <w:rsid w:val="007B3B89"/>
    <w:rsid w:val="007B60D4"/>
    <w:rsid w:val="007C7B68"/>
    <w:rsid w:val="007D13E5"/>
    <w:rsid w:val="007D2D16"/>
    <w:rsid w:val="007D2E71"/>
    <w:rsid w:val="007D46CE"/>
    <w:rsid w:val="007E4978"/>
    <w:rsid w:val="007E533C"/>
    <w:rsid w:val="007E790A"/>
    <w:rsid w:val="007F4417"/>
    <w:rsid w:val="007F6384"/>
    <w:rsid w:val="007F7FD5"/>
    <w:rsid w:val="00802952"/>
    <w:rsid w:val="0080352D"/>
    <w:rsid w:val="008044A1"/>
    <w:rsid w:val="008069F9"/>
    <w:rsid w:val="00814359"/>
    <w:rsid w:val="0082007A"/>
    <w:rsid w:val="00830141"/>
    <w:rsid w:val="008329A7"/>
    <w:rsid w:val="00833794"/>
    <w:rsid w:val="00834B37"/>
    <w:rsid w:val="00836932"/>
    <w:rsid w:val="00837F18"/>
    <w:rsid w:val="0084119E"/>
    <w:rsid w:val="008502EC"/>
    <w:rsid w:val="00850B9D"/>
    <w:rsid w:val="00852F18"/>
    <w:rsid w:val="00857F3F"/>
    <w:rsid w:val="00864FAF"/>
    <w:rsid w:val="0086792D"/>
    <w:rsid w:val="00870214"/>
    <w:rsid w:val="00882DA8"/>
    <w:rsid w:val="00884BE7"/>
    <w:rsid w:val="008858CF"/>
    <w:rsid w:val="00887E91"/>
    <w:rsid w:val="008900B7"/>
    <w:rsid w:val="00893D41"/>
    <w:rsid w:val="008A0EB9"/>
    <w:rsid w:val="008A13B8"/>
    <w:rsid w:val="008A435E"/>
    <w:rsid w:val="008A4539"/>
    <w:rsid w:val="008B06F1"/>
    <w:rsid w:val="008B3347"/>
    <w:rsid w:val="008B4706"/>
    <w:rsid w:val="008B66E5"/>
    <w:rsid w:val="008C1894"/>
    <w:rsid w:val="008C6385"/>
    <w:rsid w:val="008C65C6"/>
    <w:rsid w:val="008D06A5"/>
    <w:rsid w:val="008D1297"/>
    <w:rsid w:val="008D35B0"/>
    <w:rsid w:val="008D70B8"/>
    <w:rsid w:val="008E1629"/>
    <w:rsid w:val="008E7295"/>
    <w:rsid w:val="008F1355"/>
    <w:rsid w:val="008F1BD1"/>
    <w:rsid w:val="008F5CB0"/>
    <w:rsid w:val="00901788"/>
    <w:rsid w:val="00902E1F"/>
    <w:rsid w:val="00905611"/>
    <w:rsid w:val="00910AF4"/>
    <w:rsid w:val="009143B7"/>
    <w:rsid w:val="00915332"/>
    <w:rsid w:val="0091567C"/>
    <w:rsid w:val="0092261C"/>
    <w:rsid w:val="00926C27"/>
    <w:rsid w:val="00930934"/>
    <w:rsid w:val="00934373"/>
    <w:rsid w:val="00946C1D"/>
    <w:rsid w:val="00952B7A"/>
    <w:rsid w:val="00957025"/>
    <w:rsid w:val="00957CA0"/>
    <w:rsid w:val="0096297F"/>
    <w:rsid w:val="00964712"/>
    <w:rsid w:val="00965A25"/>
    <w:rsid w:val="00973C94"/>
    <w:rsid w:val="009741F3"/>
    <w:rsid w:val="00974EB3"/>
    <w:rsid w:val="00976C1F"/>
    <w:rsid w:val="00982F60"/>
    <w:rsid w:val="00985A29"/>
    <w:rsid w:val="00987085"/>
    <w:rsid w:val="0099290D"/>
    <w:rsid w:val="009A2E0F"/>
    <w:rsid w:val="009A54CF"/>
    <w:rsid w:val="009A7A90"/>
    <w:rsid w:val="009C56B3"/>
    <w:rsid w:val="009D06C5"/>
    <w:rsid w:val="009D65FB"/>
    <w:rsid w:val="009D67B2"/>
    <w:rsid w:val="009E175B"/>
    <w:rsid w:val="009E7694"/>
    <w:rsid w:val="009F4F29"/>
    <w:rsid w:val="009F7B51"/>
    <w:rsid w:val="00A0183E"/>
    <w:rsid w:val="00A14677"/>
    <w:rsid w:val="00A2186D"/>
    <w:rsid w:val="00A23E8E"/>
    <w:rsid w:val="00A2532C"/>
    <w:rsid w:val="00A30878"/>
    <w:rsid w:val="00A308D0"/>
    <w:rsid w:val="00A31234"/>
    <w:rsid w:val="00A378EE"/>
    <w:rsid w:val="00A37D8A"/>
    <w:rsid w:val="00A411F1"/>
    <w:rsid w:val="00A47B2B"/>
    <w:rsid w:val="00A52060"/>
    <w:rsid w:val="00A52893"/>
    <w:rsid w:val="00A546D1"/>
    <w:rsid w:val="00A56D47"/>
    <w:rsid w:val="00A619E1"/>
    <w:rsid w:val="00A65AB6"/>
    <w:rsid w:val="00A67A58"/>
    <w:rsid w:val="00A71188"/>
    <w:rsid w:val="00A712F0"/>
    <w:rsid w:val="00A71E09"/>
    <w:rsid w:val="00A8153E"/>
    <w:rsid w:val="00A81956"/>
    <w:rsid w:val="00A8203D"/>
    <w:rsid w:val="00A90740"/>
    <w:rsid w:val="00A92139"/>
    <w:rsid w:val="00A933D5"/>
    <w:rsid w:val="00A960AE"/>
    <w:rsid w:val="00AA233A"/>
    <w:rsid w:val="00AA3400"/>
    <w:rsid w:val="00AA7AC5"/>
    <w:rsid w:val="00AB2945"/>
    <w:rsid w:val="00AB2AF2"/>
    <w:rsid w:val="00AB3968"/>
    <w:rsid w:val="00AB3D2F"/>
    <w:rsid w:val="00AC07DC"/>
    <w:rsid w:val="00AC5BA4"/>
    <w:rsid w:val="00AD1489"/>
    <w:rsid w:val="00AD2B7F"/>
    <w:rsid w:val="00AE0B91"/>
    <w:rsid w:val="00AE4241"/>
    <w:rsid w:val="00AE43D8"/>
    <w:rsid w:val="00AE4ADF"/>
    <w:rsid w:val="00AE538F"/>
    <w:rsid w:val="00AE5477"/>
    <w:rsid w:val="00AE5769"/>
    <w:rsid w:val="00AE6CAD"/>
    <w:rsid w:val="00AE701F"/>
    <w:rsid w:val="00AE7542"/>
    <w:rsid w:val="00AF03CF"/>
    <w:rsid w:val="00AF0CD5"/>
    <w:rsid w:val="00AF1AA0"/>
    <w:rsid w:val="00B025DC"/>
    <w:rsid w:val="00B05BCD"/>
    <w:rsid w:val="00B05C26"/>
    <w:rsid w:val="00B07BC9"/>
    <w:rsid w:val="00B12D04"/>
    <w:rsid w:val="00B12F51"/>
    <w:rsid w:val="00B150BD"/>
    <w:rsid w:val="00B203EF"/>
    <w:rsid w:val="00B23036"/>
    <w:rsid w:val="00B239C5"/>
    <w:rsid w:val="00B23E99"/>
    <w:rsid w:val="00B23F80"/>
    <w:rsid w:val="00B24131"/>
    <w:rsid w:val="00B337A7"/>
    <w:rsid w:val="00B4034A"/>
    <w:rsid w:val="00B42955"/>
    <w:rsid w:val="00B46BB2"/>
    <w:rsid w:val="00B513FA"/>
    <w:rsid w:val="00B53C57"/>
    <w:rsid w:val="00B57888"/>
    <w:rsid w:val="00B608DA"/>
    <w:rsid w:val="00B64414"/>
    <w:rsid w:val="00B67CDB"/>
    <w:rsid w:val="00B83523"/>
    <w:rsid w:val="00B84DF4"/>
    <w:rsid w:val="00B84EDB"/>
    <w:rsid w:val="00B85E83"/>
    <w:rsid w:val="00B87582"/>
    <w:rsid w:val="00B9051D"/>
    <w:rsid w:val="00B920F8"/>
    <w:rsid w:val="00B972EE"/>
    <w:rsid w:val="00BA0BA3"/>
    <w:rsid w:val="00BA5697"/>
    <w:rsid w:val="00BB4A43"/>
    <w:rsid w:val="00BB7CA6"/>
    <w:rsid w:val="00BC11E3"/>
    <w:rsid w:val="00BC13C3"/>
    <w:rsid w:val="00BC76B2"/>
    <w:rsid w:val="00BD0626"/>
    <w:rsid w:val="00BD0677"/>
    <w:rsid w:val="00BD43FE"/>
    <w:rsid w:val="00BE3B83"/>
    <w:rsid w:val="00BE487C"/>
    <w:rsid w:val="00BE71A0"/>
    <w:rsid w:val="00BF169D"/>
    <w:rsid w:val="00BF42BA"/>
    <w:rsid w:val="00C05613"/>
    <w:rsid w:val="00C069A6"/>
    <w:rsid w:val="00C07846"/>
    <w:rsid w:val="00C11516"/>
    <w:rsid w:val="00C15288"/>
    <w:rsid w:val="00C15B46"/>
    <w:rsid w:val="00C22163"/>
    <w:rsid w:val="00C23B11"/>
    <w:rsid w:val="00C27365"/>
    <w:rsid w:val="00C3775C"/>
    <w:rsid w:val="00C42B34"/>
    <w:rsid w:val="00C43A0E"/>
    <w:rsid w:val="00C444A7"/>
    <w:rsid w:val="00C44A36"/>
    <w:rsid w:val="00C50BE8"/>
    <w:rsid w:val="00C55D4F"/>
    <w:rsid w:val="00C6083E"/>
    <w:rsid w:val="00C6144A"/>
    <w:rsid w:val="00C61C6E"/>
    <w:rsid w:val="00C6303B"/>
    <w:rsid w:val="00C65CCA"/>
    <w:rsid w:val="00C741D1"/>
    <w:rsid w:val="00C760CB"/>
    <w:rsid w:val="00C804C2"/>
    <w:rsid w:val="00C82571"/>
    <w:rsid w:val="00C872C5"/>
    <w:rsid w:val="00C9721F"/>
    <w:rsid w:val="00C97325"/>
    <w:rsid w:val="00CA2769"/>
    <w:rsid w:val="00CA7529"/>
    <w:rsid w:val="00CB0183"/>
    <w:rsid w:val="00CB5106"/>
    <w:rsid w:val="00CB6375"/>
    <w:rsid w:val="00CD0D71"/>
    <w:rsid w:val="00CD6930"/>
    <w:rsid w:val="00CE3CCB"/>
    <w:rsid w:val="00CF0489"/>
    <w:rsid w:val="00CF6443"/>
    <w:rsid w:val="00D0665C"/>
    <w:rsid w:val="00D11143"/>
    <w:rsid w:val="00D14306"/>
    <w:rsid w:val="00D2065B"/>
    <w:rsid w:val="00D26DA7"/>
    <w:rsid w:val="00D26F82"/>
    <w:rsid w:val="00D27AD8"/>
    <w:rsid w:val="00D30EBE"/>
    <w:rsid w:val="00D30FEA"/>
    <w:rsid w:val="00D31BF2"/>
    <w:rsid w:val="00D31FE0"/>
    <w:rsid w:val="00D4177D"/>
    <w:rsid w:val="00D428ED"/>
    <w:rsid w:val="00D43343"/>
    <w:rsid w:val="00D47CB9"/>
    <w:rsid w:val="00D51945"/>
    <w:rsid w:val="00D52358"/>
    <w:rsid w:val="00D52B38"/>
    <w:rsid w:val="00D553C7"/>
    <w:rsid w:val="00D6125E"/>
    <w:rsid w:val="00D73181"/>
    <w:rsid w:val="00D7458E"/>
    <w:rsid w:val="00D83591"/>
    <w:rsid w:val="00D84601"/>
    <w:rsid w:val="00D964CB"/>
    <w:rsid w:val="00D96586"/>
    <w:rsid w:val="00D96661"/>
    <w:rsid w:val="00DA3CEF"/>
    <w:rsid w:val="00DA4EBE"/>
    <w:rsid w:val="00DA613A"/>
    <w:rsid w:val="00DB4C8E"/>
    <w:rsid w:val="00DB5E89"/>
    <w:rsid w:val="00DB7E99"/>
    <w:rsid w:val="00DC04C7"/>
    <w:rsid w:val="00DC3B40"/>
    <w:rsid w:val="00DC5043"/>
    <w:rsid w:val="00DD0C10"/>
    <w:rsid w:val="00DE396A"/>
    <w:rsid w:val="00DF4027"/>
    <w:rsid w:val="00E024CD"/>
    <w:rsid w:val="00E10AE3"/>
    <w:rsid w:val="00E11752"/>
    <w:rsid w:val="00E30479"/>
    <w:rsid w:val="00E37CBD"/>
    <w:rsid w:val="00E37CC7"/>
    <w:rsid w:val="00E41A53"/>
    <w:rsid w:val="00E43532"/>
    <w:rsid w:val="00E43E7A"/>
    <w:rsid w:val="00E469B0"/>
    <w:rsid w:val="00E46F24"/>
    <w:rsid w:val="00E473BA"/>
    <w:rsid w:val="00E51780"/>
    <w:rsid w:val="00E51EDD"/>
    <w:rsid w:val="00E54725"/>
    <w:rsid w:val="00E62619"/>
    <w:rsid w:val="00E62D57"/>
    <w:rsid w:val="00E653A2"/>
    <w:rsid w:val="00E71B36"/>
    <w:rsid w:val="00E76B87"/>
    <w:rsid w:val="00E83C75"/>
    <w:rsid w:val="00E85B73"/>
    <w:rsid w:val="00E93A71"/>
    <w:rsid w:val="00E964C8"/>
    <w:rsid w:val="00EA0B39"/>
    <w:rsid w:val="00EA0F4F"/>
    <w:rsid w:val="00EA21B6"/>
    <w:rsid w:val="00EA48B2"/>
    <w:rsid w:val="00EA6BD9"/>
    <w:rsid w:val="00EB1483"/>
    <w:rsid w:val="00EB3065"/>
    <w:rsid w:val="00EB663F"/>
    <w:rsid w:val="00EB7AEE"/>
    <w:rsid w:val="00EC7E5C"/>
    <w:rsid w:val="00ED01DF"/>
    <w:rsid w:val="00ED7227"/>
    <w:rsid w:val="00ED7CA6"/>
    <w:rsid w:val="00EE2D64"/>
    <w:rsid w:val="00EE3961"/>
    <w:rsid w:val="00EF01F0"/>
    <w:rsid w:val="00EF0986"/>
    <w:rsid w:val="00EF29DD"/>
    <w:rsid w:val="00EF68A3"/>
    <w:rsid w:val="00EF70E1"/>
    <w:rsid w:val="00F01C3F"/>
    <w:rsid w:val="00F049AE"/>
    <w:rsid w:val="00F115D2"/>
    <w:rsid w:val="00F14888"/>
    <w:rsid w:val="00F16876"/>
    <w:rsid w:val="00F21F3C"/>
    <w:rsid w:val="00F27A0D"/>
    <w:rsid w:val="00F27EE2"/>
    <w:rsid w:val="00F30105"/>
    <w:rsid w:val="00F31412"/>
    <w:rsid w:val="00F331F6"/>
    <w:rsid w:val="00F36CDD"/>
    <w:rsid w:val="00F372A6"/>
    <w:rsid w:val="00F42773"/>
    <w:rsid w:val="00F42930"/>
    <w:rsid w:val="00F433EF"/>
    <w:rsid w:val="00F469DB"/>
    <w:rsid w:val="00F520D0"/>
    <w:rsid w:val="00F52EE8"/>
    <w:rsid w:val="00F551AA"/>
    <w:rsid w:val="00F56CAE"/>
    <w:rsid w:val="00F6008C"/>
    <w:rsid w:val="00F619CD"/>
    <w:rsid w:val="00F6713C"/>
    <w:rsid w:val="00F71BAE"/>
    <w:rsid w:val="00F724A9"/>
    <w:rsid w:val="00F739AA"/>
    <w:rsid w:val="00F73E10"/>
    <w:rsid w:val="00F74E0A"/>
    <w:rsid w:val="00F7530F"/>
    <w:rsid w:val="00F77E51"/>
    <w:rsid w:val="00F83421"/>
    <w:rsid w:val="00F8413C"/>
    <w:rsid w:val="00F90B42"/>
    <w:rsid w:val="00F90D98"/>
    <w:rsid w:val="00F92B38"/>
    <w:rsid w:val="00F93B09"/>
    <w:rsid w:val="00F97048"/>
    <w:rsid w:val="00FA396F"/>
    <w:rsid w:val="00FB4E6D"/>
    <w:rsid w:val="00FB5CC0"/>
    <w:rsid w:val="00FB77B1"/>
    <w:rsid w:val="00FC3AB2"/>
    <w:rsid w:val="00FC4637"/>
    <w:rsid w:val="00FC5051"/>
    <w:rsid w:val="00FE16F4"/>
    <w:rsid w:val="00FE2BC3"/>
    <w:rsid w:val="00FE787B"/>
    <w:rsid w:val="00FF0A71"/>
    <w:rsid w:val="00FF2C60"/>
    <w:rsid w:val="00FF70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A3D9"/>
  <w15:chartTrackingRefBased/>
  <w15:docId w15:val="{2816AC29-864B-4498-9ABD-B14163C2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5A4"/>
    <w:pPr>
      <w:spacing w:line="278" w:lineRule="auto"/>
    </w:pPr>
    <w:rPr>
      <w:sz w:val="24"/>
      <w:szCs w:val="24"/>
    </w:rPr>
  </w:style>
  <w:style w:type="paragraph" w:styleId="Titre1">
    <w:name w:val="heading 1"/>
    <w:basedOn w:val="Normal"/>
    <w:next w:val="Normal"/>
    <w:link w:val="Titre1Car"/>
    <w:uiPriority w:val="9"/>
    <w:qFormat/>
    <w:rsid w:val="00E54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4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472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472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472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472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472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472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472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472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472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472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472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472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47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47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47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4725"/>
    <w:rPr>
      <w:rFonts w:eastAsiaTheme="majorEastAsia" w:cstheme="majorBidi"/>
      <w:color w:val="272727" w:themeColor="text1" w:themeTint="D8"/>
    </w:rPr>
  </w:style>
  <w:style w:type="paragraph" w:styleId="Titre">
    <w:name w:val="Title"/>
    <w:basedOn w:val="Normal"/>
    <w:next w:val="Normal"/>
    <w:link w:val="TitreCar"/>
    <w:uiPriority w:val="10"/>
    <w:qFormat/>
    <w:rsid w:val="00E54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47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472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47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4725"/>
    <w:pPr>
      <w:spacing w:before="160"/>
      <w:jc w:val="center"/>
    </w:pPr>
    <w:rPr>
      <w:i/>
      <w:iCs/>
      <w:color w:val="404040" w:themeColor="text1" w:themeTint="BF"/>
    </w:rPr>
  </w:style>
  <w:style w:type="character" w:customStyle="1" w:styleId="CitationCar">
    <w:name w:val="Citation Car"/>
    <w:basedOn w:val="Policepardfaut"/>
    <w:link w:val="Citation"/>
    <w:uiPriority w:val="29"/>
    <w:rsid w:val="00E54725"/>
    <w:rPr>
      <w:i/>
      <w:iCs/>
      <w:color w:val="404040" w:themeColor="text1" w:themeTint="BF"/>
    </w:rPr>
  </w:style>
  <w:style w:type="paragraph" w:styleId="Paragraphedeliste">
    <w:name w:val="List Paragraph"/>
    <w:basedOn w:val="Normal"/>
    <w:uiPriority w:val="34"/>
    <w:qFormat/>
    <w:rsid w:val="00E54725"/>
    <w:pPr>
      <w:ind w:left="720"/>
      <w:contextualSpacing/>
    </w:pPr>
  </w:style>
  <w:style w:type="character" w:styleId="Accentuationintense">
    <w:name w:val="Intense Emphasis"/>
    <w:basedOn w:val="Policepardfaut"/>
    <w:uiPriority w:val="21"/>
    <w:qFormat/>
    <w:rsid w:val="00E54725"/>
    <w:rPr>
      <w:i/>
      <w:iCs/>
      <w:color w:val="0F4761" w:themeColor="accent1" w:themeShade="BF"/>
    </w:rPr>
  </w:style>
  <w:style w:type="paragraph" w:styleId="Citationintense">
    <w:name w:val="Intense Quote"/>
    <w:basedOn w:val="Normal"/>
    <w:next w:val="Normal"/>
    <w:link w:val="CitationintenseCar"/>
    <w:uiPriority w:val="30"/>
    <w:qFormat/>
    <w:rsid w:val="00E54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4725"/>
    <w:rPr>
      <w:i/>
      <w:iCs/>
      <w:color w:val="0F4761" w:themeColor="accent1" w:themeShade="BF"/>
    </w:rPr>
  </w:style>
  <w:style w:type="character" w:styleId="Rfrenceintense">
    <w:name w:val="Intense Reference"/>
    <w:basedOn w:val="Policepardfaut"/>
    <w:uiPriority w:val="32"/>
    <w:qFormat/>
    <w:rsid w:val="00E54725"/>
    <w:rPr>
      <w:b/>
      <w:bCs/>
      <w:smallCaps/>
      <w:color w:val="0F4761" w:themeColor="accent1" w:themeShade="BF"/>
      <w:spacing w:val="5"/>
    </w:rPr>
  </w:style>
  <w:style w:type="table" w:styleId="Grilledutableau">
    <w:name w:val="Table Grid"/>
    <w:basedOn w:val="TableauNormal"/>
    <w:uiPriority w:val="39"/>
    <w:rsid w:val="00447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F169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normaltextrun">
    <w:name w:val="normaltextrun"/>
    <w:basedOn w:val="Policepardfaut"/>
    <w:rsid w:val="00BF169D"/>
  </w:style>
  <w:style w:type="character" w:customStyle="1" w:styleId="eop">
    <w:name w:val="eop"/>
    <w:basedOn w:val="Policepardfaut"/>
    <w:rsid w:val="00BF169D"/>
  </w:style>
  <w:style w:type="paragraph" w:styleId="Rvision">
    <w:name w:val="Revision"/>
    <w:hidden/>
    <w:uiPriority w:val="99"/>
    <w:semiHidden/>
    <w:rsid w:val="00901788"/>
    <w:pPr>
      <w:spacing w:after="0" w:line="240" w:lineRule="auto"/>
    </w:pPr>
    <w:rPr>
      <w:sz w:val="24"/>
      <w:szCs w:val="24"/>
    </w:rPr>
  </w:style>
  <w:style w:type="character" w:styleId="Marquedecommentaire">
    <w:name w:val="annotation reference"/>
    <w:basedOn w:val="Policepardfaut"/>
    <w:uiPriority w:val="99"/>
    <w:semiHidden/>
    <w:unhideWhenUsed/>
    <w:rsid w:val="006C60D9"/>
    <w:rPr>
      <w:sz w:val="16"/>
      <w:szCs w:val="16"/>
    </w:rPr>
  </w:style>
  <w:style w:type="paragraph" w:styleId="Commentaire">
    <w:name w:val="annotation text"/>
    <w:basedOn w:val="Normal"/>
    <w:link w:val="CommentaireCar"/>
    <w:uiPriority w:val="99"/>
    <w:unhideWhenUsed/>
    <w:rsid w:val="006C60D9"/>
    <w:pPr>
      <w:spacing w:line="240" w:lineRule="auto"/>
    </w:pPr>
    <w:rPr>
      <w:sz w:val="20"/>
      <w:szCs w:val="20"/>
    </w:rPr>
  </w:style>
  <w:style w:type="character" w:customStyle="1" w:styleId="CommentaireCar">
    <w:name w:val="Commentaire Car"/>
    <w:basedOn w:val="Policepardfaut"/>
    <w:link w:val="Commentaire"/>
    <w:uiPriority w:val="99"/>
    <w:rsid w:val="006C60D9"/>
    <w:rPr>
      <w:sz w:val="20"/>
      <w:szCs w:val="20"/>
    </w:rPr>
  </w:style>
  <w:style w:type="paragraph" w:styleId="Objetducommentaire">
    <w:name w:val="annotation subject"/>
    <w:basedOn w:val="Commentaire"/>
    <w:next w:val="Commentaire"/>
    <w:link w:val="ObjetducommentaireCar"/>
    <w:uiPriority w:val="99"/>
    <w:semiHidden/>
    <w:unhideWhenUsed/>
    <w:rsid w:val="006C60D9"/>
    <w:rPr>
      <w:b/>
      <w:bCs/>
    </w:rPr>
  </w:style>
  <w:style w:type="character" w:customStyle="1" w:styleId="ObjetducommentaireCar">
    <w:name w:val="Objet du commentaire Car"/>
    <w:basedOn w:val="CommentaireCar"/>
    <w:link w:val="Objetducommentaire"/>
    <w:uiPriority w:val="99"/>
    <w:semiHidden/>
    <w:rsid w:val="006C60D9"/>
    <w:rPr>
      <w:b/>
      <w:bCs/>
      <w:sz w:val="20"/>
      <w:szCs w:val="20"/>
    </w:rPr>
  </w:style>
  <w:style w:type="character" w:customStyle="1" w:styleId="apple-converted-space">
    <w:name w:val="apple-converted-space"/>
    <w:basedOn w:val="Policepardfaut"/>
    <w:rsid w:val="00B85E83"/>
  </w:style>
  <w:style w:type="character" w:styleId="Lienhypertexte">
    <w:name w:val="Hyperlink"/>
    <w:basedOn w:val="Policepardfaut"/>
    <w:uiPriority w:val="99"/>
    <w:unhideWhenUsed/>
    <w:rsid w:val="00870214"/>
    <w:rPr>
      <w:color w:val="467886" w:themeColor="hyperlink"/>
      <w:u w:val="single"/>
    </w:rPr>
  </w:style>
  <w:style w:type="character" w:styleId="Mentionnonrsolue">
    <w:name w:val="Unresolved Mention"/>
    <w:basedOn w:val="Policepardfaut"/>
    <w:uiPriority w:val="99"/>
    <w:semiHidden/>
    <w:unhideWhenUsed/>
    <w:rsid w:val="00870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ltar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ltares.com/whitepapers/etude-de-defaillances-et-sauvegardes-des-entreprises-en-france-t2-202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ssaf.org/accueil/statistiques/nos-etudes-et-analyses/notre-publication-mensuelle/barometres-2026/indicateurs-urssaf-fin-mai2026.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bf.fr/fr/derniers-chiffres-du-financement-des-entreprise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urielle.dutartre@coriolink.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913B767FB0641B491F1174414CDB1" ma:contentTypeVersion="19" ma:contentTypeDescription="Crée un document." ma:contentTypeScope="" ma:versionID="6fbc616f01f38b42b64984ba1a516b12">
  <xsd:schema xmlns:xsd="http://www.w3.org/2001/XMLSchema" xmlns:xs="http://www.w3.org/2001/XMLSchema" xmlns:p="http://schemas.microsoft.com/office/2006/metadata/properties" xmlns:ns2="42f17a2b-9806-4f21-8f35-1cf79de80fc5" xmlns:ns3="94b76f73-32e0-4a33-b253-55ebc2782ce8" targetNamespace="http://schemas.microsoft.com/office/2006/metadata/properties" ma:root="true" ma:fieldsID="233e21c28db14cf220bbe06ce192ef80" ns2:_="" ns3:_="">
    <xsd:import namespace="42f17a2b-9806-4f21-8f35-1cf79de80fc5"/>
    <xsd:import namespace="94b76f73-32e0-4a33-b253-55ebc2782c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x0031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17a2b-9806-4f21-8f35-1cf79de80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622448a-c5b6-4f36-97be-fed69cc01814" ma:termSetId="09814cd3-568e-fe90-9814-8d621ff8fb84" ma:anchorId="fba54fb3-c3e1-fe81-a776-ca4b69148c4d" ma:open="true" ma:isKeyword="false">
      <xsd:complexType>
        <xsd:sequence>
          <xsd:element ref="pc:Terms" minOccurs="0" maxOccurs="1"/>
        </xsd:sequence>
      </xsd:complexType>
    </xsd:element>
    <xsd:element name="_x0031_" ma:index="24" nillable="true" ma:displayName="1" ma:default="1" ma:format="Dropdown" ma:internalName="_x0031_" ma:percentage="FALSE">
      <xsd:simpleType>
        <xsd:restriction base="dms:Number"/>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76f73-32e0-4a33-b253-55ebc2782ce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8ad26c4-a6e6-430e-99dd-368c78a9c357}" ma:internalName="TaxCatchAll" ma:showField="CatchAllData" ma:web="94b76f73-32e0-4a33-b253-55ebc2782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b76f73-32e0-4a33-b253-55ebc2782ce8" xsi:nil="true"/>
    <lcf76f155ced4ddcb4097134ff3c332f xmlns="42f17a2b-9806-4f21-8f35-1cf79de80fc5">
      <Terms xmlns="http://schemas.microsoft.com/office/infopath/2007/PartnerControls"/>
    </lcf76f155ced4ddcb4097134ff3c332f>
    <_x0031_ xmlns="42f17a2b-9806-4f21-8f35-1cf79de80fc5">1</_x0031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43371-292B-4D93-B546-F451003FC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17a2b-9806-4f21-8f35-1cf79de80fc5"/>
    <ds:schemaRef ds:uri="94b76f73-32e0-4a33-b253-55ebc2782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C1479-7D6D-4370-8F5B-CBAAD6F14C7C}">
  <ds:schemaRefs>
    <ds:schemaRef ds:uri="http://schemas.microsoft.com/office/2006/metadata/properties"/>
    <ds:schemaRef ds:uri="http://schemas.microsoft.com/office/infopath/2007/PartnerControls"/>
    <ds:schemaRef ds:uri="94b76f73-32e0-4a33-b253-55ebc2782ce8"/>
    <ds:schemaRef ds:uri="42f17a2b-9806-4f21-8f35-1cf79de80fc5"/>
  </ds:schemaRefs>
</ds:datastoreItem>
</file>

<file path=customXml/itemProps3.xml><?xml version="1.0" encoding="utf-8"?>
<ds:datastoreItem xmlns:ds="http://schemas.openxmlformats.org/officeDocument/2006/customXml" ds:itemID="{F8925EF6-C536-41C9-91CA-D04A0AD1D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3597</Words>
  <Characters>19654</Characters>
  <Application>Microsoft Office Word</Application>
  <DocSecurity>0</DocSecurity>
  <Lines>437</Lines>
  <Paragraphs>169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Millon Thierry</dc:creator>
  <cp:keywords/>
  <dc:description/>
  <cp:lastModifiedBy>Renaud Camille</cp:lastModifiedBy>
  <cp:revision>3</cp:revision>
  <cp:lastPrinted>2026-04-09T07:08:00Z</cp:lastPrinted>
  <dcterms:created xsi:type="dcterms:W3CDTF">2026-07-10T11:10:00Z</dcterms:created>
  <dcterms:modified xsi:type="dcterms:W3CDTF">2026-07-16T07:51:00Z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0x01010007D913B767FB0641B491F1174414CDB1</vt:lpwstr>
  </property>
  <property fmtid="{D5CDD505-2E9C-101B-9397-08002B2CF9AE}" pid="3" name="_dlc_DocIdItemGuid">
    <vt:lpwstr>80afd109-2520-4ff3-8bcf-a39ee20acac3</vt:lpwstr>
  </property>
  <property fmtid="{D5CDD505-2E9C-101B-9397-08002B2CF9AE}" pid="4" name="MediaServiceImageTags">
    <vt:lpwstr/>
  </property>
  <property fmtid="{D5CDD505-2E9C-101B-9397-08002B2CF9AE}" pid="5" name="MSIP_Label_8faeaf69-8460-4077-8504-c42aef4da4e4_Enabled">
    <vt:lpwstr>true</vt:lpwstr>
  </property>
  <property fmtid="{D5CDD505-2E9C-101B-9397-08002B2CF9AE}" pid="6" name="MSIP_Label_8faeaf69-8460-4077-8504-c42aef4da4e4_SetDate">
    <vt:lpwstr>2026-07-07T16:53:53Z</vt:lpwstr>
  </property>
  <property fmtid="{D5CDD505-2E9C-101B-9397-08002B2CF9AE}" pid="7" name="MSIP_Label_8faeaf69-8460-4077-8504-c42aef4da4e4_Method">
    <vt:lpwstr>Privileged</vt:lpwstr>
  </property>
  <property fmtid="{D5CDD505-2E9C-101B-9397-08002B2CF9AE}" pid="8" name="MSIP_Label_8faeaf69-8460-4077-8504-c42aef4da4e4_Name">
    <vt:lpwstr>Commercial in confidence</vt:lpwstr>
  </property>
  <property fmtid="{D5CDD505-2E9C-101B-9397-08002B2CF9AE}" pid="9" name="MSIP_Label_8faeaf69-8460-4077-8504-c42aef4da4e4_SiteId">
    <vt:lpwstr>2631b5ed-b7f3-4e7e-a8c6-ddd0b12775c2</vt:lpwstr>
  </property>
  <property fmtid="{D5CDD505-2E9C-101B-9397-08002B2CF9AE}" pid="10" name="MSIP_Label_8faeaf69-8460-4077-8504-c42aef4da4e4_ActionId">
    <vt:lpwstr>32bede10-f411-4354-b277-48688d74ae5c</vt:lpwstr>
  </property>
  <property fmtid="{D5CDD505-2E9C-101B-9397-08002B2CF9AE}" pid="11" name="MSIP_Label_8faeaf69-8460-4077-8504-c42aef4da4e4_ContentBits">
    <vt:lpwstr>0</vt:lpwstr>
  </property>
  <property fmtid="{D5CDD505-2E9C-101B-9397-08002B2CF9AE}" pid="12" name="MSIP_Label_8faeaf69-8460-4077-8504-c42aef4da4e4_Tag">
    <vt:lpwstr>10, 0, 1, 1</vt:lpwstr>
  </property>
</Properties>
</file>